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cs/>
          <w:lang w:eastAsia="x-none"/>
        </w:rPr>
      </w:pPr>
      <w:bookmarkStart w:id="0" w:name="_GoBack"/>
      <w:bookmarkEnd w:id="0"/>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THE BROOKER GROUP PUBLIC COMPANY LIMITED</w:t>
      </w: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AND ITS SUBSIDIARIES</w:t>
      </w:r>
    </w:p>
    <w:p w:rsidR="00967CF2" w:rsidRPr="00967CF2" w:rsidRDefault="007535A8" w:rsidP="00967CF2">
      <w:pPr>
        <w:spacing w:after="120" w:line="240" w:lineRule="auto"/>
        <w:ind w:right="-279"/>
        <w:jc w:val="center"/>
        <w:rPr>
          <w:rFonts w:ascii="Times New Roman" w:eastAsia="Times New Roman" w:hAnsi="Times New Roman" w:cs="CordiaUPC"/>
          <w:sz w:val="24"/>
          <w:szCs w:val="24"/>
        </w:rPr>
      </w:pPr>
      <w:r>
        <w:rPr>
          <w:rFonts w:ascii="Times New Roman" w:eastAsia="Times New Roman" w:hAnsi="Times New Roman" w:cs="CordiaUPC"/>
          <w:sz w:val="24"/>
          <w:szCs w:val="24"/>
        </w:rPr>
        <w:t xml:space="preserve">FINANCIAL </w:t>
      </w:r>
      <w:r w:rsidR="00967CF2" w:rsidRPr="00967CF2">
        <w:rPr>
          <w:rFonts w:ascii="Times New Roman" w:eastAsia="Times New Roman" w:hAnsi="Times New Roman" w:cs="CordiaUPC"/>
          <w:sz w:val="24"/>
          <w:szCs w:val="24"/>
        </w:rPr>
        <w:t>STATEMENTS</w:t>
      </w:r>
    </w:p>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FOR THE YEAR ENDED DECEMBER 31, 201</w:t>
      </w:r>
      <w:r w:rsidR="00997B85">
        <w:rPr>
          <w:rFonts w:ascii="Times New Roman" w:eastAsia="Times New Roman" w:hAnsi="Times New Roman" w:cs="CordiaUPC"/>
          <w:sz w:val="24"/>
          <w:szCs w:val="24"/>
        </w:rPr>
        <w:t>8</w:t>
      </w:r>
    </w:p>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AND</w:t>
      </w:r>
    </w:p>
    <w:p w:rsidR="00967CF2" w:rsidRPr="00967CF2" w:rsidRDefault="00967CF2" w:rsidP="00967CF2">
      <w:pPr>
        <w:keepNext/>
        <w:spacing w:after="0" w:line="240" w:lineRule="auto"/>
        <w:ind w:right="-279"/>
        <w:jc w:val="center"/>
        <w:outlineLvl w:val="0"/>
        <w:rPr>
          <w:rFonts w:ascii="Times New Roman" w:eastAsia="Times New Roman" w:hAnsi="Times New Roman" w:cs="Angsana New"/>
          <w:kern w:val="32"/>
          <w:sz w:val="24"/>
          <w:szCs w:val="24"/>
          <w:lang w:val="x-none" w:eastAsia="x-none"/>
        </w:rPr>
      </w:pPr>
      <w:r w:rsidRPr="00967CF2">
        <w:rPr>
          <w:rFonts w:ascii="Times New Roman" w:eastAsia="Times New Roman" w:hAnsi="Times New Roman" w:cs="Angsana New"/>
          <w:kern w:val="32"/>
          <w:sz w:val="24"/>
          <w:szCs w:val="24"/>
          <w:lang w:val="x-none" w:eastAsia="x-none"/>
        </w:rPr>
        <w:t>INDEPENDENT AUDITOR’S 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967CF2" w:rsidRPr="00967CF2" w:rsidTr="00677CE4">
        <w:tc>
          <w:tcPr>
            <w:tcW w:w="8931" w:type="dxa"/>
            <w:tcBorders>
              <w:top w:val="nil"/>
              <w:left w:val="nil"/>
              <w:right w:val="nil"/>
            </w:tcBorders>
          </w:tcPr>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p>
        </w:tc>
      </w:tr>
    </w:tbl>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C269C2">
      <w:pPr>
        <w:spacing w:after="0" w:line="240" w:lineRule="auto"/>
        <w:ind w:right="-279"/>
        <w:jc w:val="center"/>
        <w:rPr>
          <w:rFonts w:ascii="Times New Roman" w:eastAsia="Times New Roman" w:hAnsi="Times New Roman" w:cs="CordiaUPC"/>
          <w:b/>
          <w:bCs/>
          <w:color w:val="000000"/>
          <w:szCs w:val="22"/>
        </w:rPr>
      </w:pPr>
    </w:p>
    <w:p w:rsidR="00D36A53" w:rsidRDefault="00D36A53" w:rsidP="00C269C2">
      <w:pPr>
        <w:pStyle w:val="Default"/>
        <w:ind w:left="284"/>
        <w:jc w:val="center"/>
        <w:rPr>
          <w:rFonts w:ascii="Times New Roman" w:hAnsi="Times New Roman" w:cs="Times New Roman"/>
          <w:b/>
          <w:bCs/>
          <w:u w:val="single"/>
        </w:rPr>
      </w:pPr>
    </w:p>
    <w:p w:rsidR="00C269C2" w:rsidRDefault="00C269C2" w:rsidP="00C269C2">
      <w:pPr>
        <w:pStyle w:val="Default"/>
        <w:ind w:left="284"/>
        <w:jc w:val="center"/>
        <w:rPr>
          <w:rFonts w:ascii="Times New Roman" w:hAnsi="Times New Roman" w:cs="Times New Roman"/>
          <w:b/>
          <w:bCs/>
          <w:u w:val="single"/>
        </w:rPr>
      </w:pPr>
    </w:p>
    <w:p w:rsidR="00E063FB" w:rsidRPr="00EC2A69" w:rsidRDefault="00E063FB" w:rsidP="002032AF">
      <w:pPr>
        <w:pStyle w:val="Default"/>
        <w:ind w:left="284" w:hanging="284"/>
        <w:jc w:val="center"/>
        <w:rPr>
          <w:rFonts w:ascii="Times New Roman" w:hAnsi="Times New Roman" w:cs="Times New Roman"/>
          <w:b/>
          <w:bCs/>
          <w:u w:val="single"/>
        </w:rPr>
      </w:pPr>
      <w:r w:rsidRPr="00EC2A69">
        <w:rPr>
          <w:rFonts w:ascii="Times New Roman" w:hAnsi="Times New Roman" w:cs="Times New Roman"/>
          <w:b/>
          <w:bCs/>
          <w:u w:val="single"/>
        </w:rPr>
        <w:t>INDEPENDENT  AUDITOR’S  REPORT</w:t>
      </w:r>
    </w:p>
    <w:p w:rsidR="00E063FB" w:rsidRPr="002032AF" w:rsidRDefault="00E063FB" w:rsidP="002032AF">
      <w:pPr>
        <w:ind w:left="284" w:right="-25" w:hanging="284"/>
        <w:jc w:val="thaiDistribute"/>
        <w:outlineLvl w:val="0"/>
        <w:rPr>
          <w:rFonts w:cs="Times New Roman"/>
          <w:sz w:val="18"/>
          <w:szCs w:val="18"/>
          <w:cs/>
        </w:rPr>
      </w:pPr>
    </w:p>
    <w:p w:rsidR="0067756E" w:rsidRDefault="00E063FB" w:rsidP="003E053F">
      <w:pPr>
        <w:spacing w:after="360"/>
        <w:ind w:left="425" w:right="-23" w:hanging="425"/>
        <w:outlineLvl w:val="0"/>
        <w:rPr>
          <w:rFonts w:ascii="Times New Roman" w:hAnsi="Times New Roman" w:cs="Times New Roman"/>
          <w:b/>
          <w:bCs/>
          <w:sz w:val="18"/>
          <w:szCs w:val="18"/>
        </w:rPr>
      </w:pPr>
      <w:r w:rsidRPr="002032AF">
        <w:rPr>
          <w:rFonts w:ascii="Times New Roman" w:hAnsi="Times New Roman" w:cs="Times New Roman"/>
          <w:b/>
          <w:bCs/>
          <w:color w:val="000000"/>
          <w:sz w:val="18"/>
          <w:szCs w:val="18"/>
        </w:rPr>
        <w:t>To</w:t>
      </w:r>
      <w:r w:rsidRPr="002032AF">
        <w:rPr>
          <w:rFonts w:ascii="Times New Roman" w:hAnsi="Times New Roman" w:cs="Times New Roman"/>
          <w:b/>
          <w:bCs/>
          <w:color w:val="000000"/>
          <w:sz w:val="18"/>
          <w:szCs w:val="18"/>
        </w:rPr>
        <w:tab/>
        <w:t>The Shareholders and Board of</w:t>
      </w:r>
      <w:r w:rsidR="002D4A65">
        <w:rPr>
          <w:rFonts w:ascii="Times New Roman" w:hAnsi="Times New Roman" w:cs="Times New Roman"/>
          <w:b/>
          <w:bCs/>
          <w:color w:val="000000"/>
          <w:sz w:val="18"/>
          <w:szCs w:val="18"/>
        </w:rPr>
        <w:t xml:space="preserve"> Directors of The Brooker Group </w:t>
      </w:r>
      <w:r w:rsidRPr="002032AF">
        <w:rPr>
          <w:rFonts w:ascii="Times New Roman" w:hAnsi="Times New Roman" w:cs="Times New Roman"/>
          <w:b/>
          <w:bCs/>
          <w:color w:val="000000"/>
          <w:sz w:val="18"/>
          <w:szCs w:val="18"/>
        </w:rPr>
        <w:t>Public Company Limited</w:t>
      </w:r>
      <w:r w:rsidR="002032AF" w:rsidRPr="002032AF">
        <w:rPr>
          <w:rFonts w:ascii="Times New Roman" w:hAnsi="Times New Roman" w:cs="Times New Roman"/>
          <w:b/>
          <w:bCs/>
          <w:sz w:val="18"/>
          <w:szCs w:val="18"/>
        </w:rPr>
        <w:t xml:space="preserve"> </w:t>
      </w:r>
    </w:p>
    <w:p w:rsidR="00E063FB" w:rsidRPr="00997B85" w:rsidRDefault="00E063FB" w:rsidP="003E053F">
      <w:pPr>
        <w:pStyle w:val="ListParagraph"/>
        <w:numPr>
          <w:ilvl w:val="0"/>
          <w:numId w:val="9"/>
        </w:numPr>
        <w:spacing w:after="240"/>
        <w:ind w:left="425" w:right="-23" w:hanging="425"/>
        <w:outlineLvl w:val="0"/>
        <w:rPr>
          <w:rFonts w:ascii="Times New Roman" w:hAnsi="Times New Roman" w:cs="Times New Roman"/>
          <w:b/>
          <w:bCs/>
          <w:sz w:val="18"/>
          <w:szCs w:val="18"/>
        </w:rPr>
      </w:pPr>
      <w:r w:rsidRPr="00997B85">
        <w:rPr>
          <w:rFonts w:ascii="Times New Roman" w:hAnsi="Times New Roman" w:cs="Times New Roman"/>
          <w:b/>
          <w:bCs/>
          <w:sz w:val="18"/>
          <w:szCs w:val="18"/>
        </w:rPr>
        <w:t xml:space="preserve">Opinion </w:t>
      </w:r>
    </w:p>
    <w:p w:rsidR="00E063FB" w:rsidRPr="002032AF" w:rsidRDefault="00E063FB" w:rsidP="00817DDD">
      <w:pPr>
        <w:pStyle w:val="Default"/>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I have audited the consolidated financial statements of</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The Brooker Group</w:t>
      </w:r>
      <w:r w:rsidR="00E13649">
        <w:rPr>
          <w:rFonts w:ascii="Times New Roman" w:hAnsi="Times New Roman" w:cstheme="minorBidi" w:hint="cs"/>
          <w:sz w:val="18"/>
          <w:szCs w:val="18"/>
          <w:cs/>
        </w:rPr>
        <w:t xml:space="preserve"> </w:t>
      </w:r>
      <w:r w:rsidRPr="002032AF">
        <w:rPr>
          <w:rFonts w:ascii="Times New Roman" w:hAnsi="Times New Roman" w:cs="Times New Roman"/>
          <w:sz w:val="18"/>
          <w:szCs w:val="18"/>
        </w:rPr>
        <w:t>Public Company Limited and its subsidiaries (the “Group”) and the separate financial statements of The Brooker Group</w:t>
      </w:r>
      <w:r w:rsidR="00E13649">
        <w:rPr>
          <w:rFonts w:ascii="Times New Roman" w:hAnsi="Times New Roman" w:cstheme="minorBidi" w:hint="cs"/>
          <w:sz w:val="18"/>
          <w:szCs w:val="18"/>
          <w:cs/>
        </w:rPr>
        <w:t xml:space="preserve"> </w:t>
      </w:r>
      <w:r w:rsidRPr="002032AF">
        <w:rPr>
          <w:rFonts w:ascii="Times New Roman" w:hAnsi="Times New Roman" w:cs="Times New Roman"/>
          <w:sz w:val="18"/>
          <w:szCs w:val="18"/>
        </w:rPr>
        <w:t xml:space="preserve">Public Company Limited (the “Company”) which comprise the consolidated and separate statements of financial </w:t>
      </w:r>
      <w:r w:rsidR="007535A8">
        <w:rPr>
          <w:rFonts w:ascii="Times New Roman" w:hAnsi="Times New Roman" w:cs="Times New Roman"/>
          <w:sz w:val="18"/>
          <w:szCs w:val="18"/>
        </w:rPr>
        <w:t>position as of December 31, 201</w:t>
      </w:r>
      <w:r w:rsidR="00F73861">
        <w:rPr>
          <w:rFonts w:ascii="Times New Roman" w:hAnsi="Times New Roman" w:cs="Times New Roman"/>
          <w:sz w:val="18"/>
          <w:szCs w:val="18"/>
        </w:rPr>
        <w:t>8</w:t>
      </w:r>
      <w:r w:rsidRPr="002032AF">
        <w:rPr>
          <w:rFonts w:ascii="Times New Roman" w:hAnsi="Times New Roman" w:cs="Times New Roman"/>
          <w:sz w:val="18"/>
          <w:szCs w:val="18"/>
        </w:rPr>
        <w:t>, and the related consolidated and separate statements of changes in equity, income, comprehensive income, and cash flows for the year then ended, and notes to the financial statements, including a summary of significant accounting policies.</w:t>
      </w:r>
    </w:p>
    <w:p w:rsidR="00E063FB" w:rsidRPr="002032AF" w:rsidRDefault="00E063FB" w:rsidP="003E053F">
      <w:pPr>
        <w:pStyle w:val="Default"/>
        <w:spacing w:after="24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my opinion, the accompanying consolidated and separate financial statements present fairly, in all material respects, the financial position of The Brooker Group Public Company Limited and its subsidiaries and of The Brooker Group Public Company Limited as of December </w:t>
      </w:r>
      <w:r w:rsidRPr="002032AF">
        <w:rPr>
          <w:rFonts w:ascii="Times New Roman" w:hAnsi="Times New Roman" w:cs="Angsana New"/>
          <w:sz w:val="18"/>
          <w:szCs w:val="18"/>
        </w:rPr>
        <w:t>31</w:t>
      </w:r>
      <w:r w:rsidRPr="002032AF">
        <w:rPr>
          <w:rFonts w:ascii="Times New Roman" w:hAnsi="Times New Roman" w:cs="Times New Roman"/>
          <w:sz w:val="18"/>
          <w:szCs w:val="18"/>
        </w:rPr>
        <w:t xml:space="preserve">, </w:t>
      </w:r>
      <w:r w:rsidRPr="002032AF">
        <w:rPr>
          <w:rFonts w:ascii="Times New Roman" w:hAnsi="Times New Roman" w:cs="Angsana New"/>
          <w:sz w:val="18"/>
          <w:szCs w:val="18"/>
        </w:rPr>
        <w:t>201</w:t>
      </w:r>
      <w:r w:rsidR="00F73861">
        <w:rPr>
          <w:rFonts w:ascii="Times New Roman" w:hAnsi="Times New Roman" w:cs="Angsana New"/>
          <w:sz w:val="18"/>
          <w:szCs w:val="18"/>
        </w:rPr>
        <w:t>8</w:t>
      </w:r>
      <w:r w:rsidRPr="002032AF">
        <w:rPr>
          <w:rFonts w:ascii="Times New Roman" w:hAnsi="Times New Roman" w:cs="Times New Roman"/>
          <w:sz w:val="18"/>
          <w:szCs w:val="18"/>
        </w:rPr>
        <w:t>, and financial performance and cash flows for the year then ended in accordance with Thai Financial Reporting Standards</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 xml:space="preserve">(“TFRSs”). </w:t>
      </w:r>
    </w:p>
    <w:p w:rsidR="00E063FB" w:rsidRPr="002032AF" w:rsidRDefault="00E063FB" w:rsidP="003E053F">
      <w:pPr>
        <w:pStyle w:val="Default"/>
        <w:numPr>
          <w:ilvl w:val="0"/>
          <w:numId w:val="9"/>
        </w:numPr>
        <w:spacing w:before="120" w:after="240"/>
        <w:ind w:left="425" w:right="-23" w:hanging="425"/>
        <w:rPr>
          <w:rFonts w:ascii="Times New Roman" w:hAnsi="Times New Roman" w:cs="Times New Roman"/>
          <w:sz w:val="18"/>
          <w:szCs w:val="18"/>
        </w:rPr>
      </w:pPr>
      <w:r w:rsidRPr="002032AF">
        <w:rPr>
          <w:rFonts w:ascii="Times New Roman" w:hAnsi="Times New Roman" w:cs="Times New Roman"/>
          <w:b/>
          <w:bCs/>
          <w:sz w:val="18"/>
          <w:szCs w:val="18"/>
        </w:rPr>
        <w:t xml:space="preserve">Basis for Opinion </w:t>
      </w:r>
    </w:p>
    <w:p w:rsidR="00E063FB" w:rsidRPr="002032AF" w:rsidRDefault="00E063FB" w:rsidP="003E053F">
      <w:pPr>
        <w:pStyle w:val="Default"/>
        <w:spacing w:after="240" w:line="360" w:lineRule="auto"/>
        <w:ind w:left="425" w:right="-23"/>
        <w:jc w:val="thaiDistribute"/>
        <w:rPr>
          <w:rFonts w:ascii="Times New Roman" w:hAnsi="Times New Roman" w:cs="Times New Roman"/>
          <w:sz w:val="18"/>
          <w:szCs w:val="18"/>
        </w:rPr>
      </w:pPr>
      <w:r w:rsidRPr="002032AF">
        <w:rPr>
          <w:rFonts w:ascii="Times New Roman" w:hAnsi="Times New Roman" w:cs="Times New Roman"/>
          <w:sz w:val="18"/>
          <w:szCs w:val="18"/>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in accordance with the Federation of Accounting Professions Code of Ethics for Professional Accountants together with the ethical requirements that are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w:t>
      </w:r>
    </w:p>
    <w:p w:rsidR="00E063FB" w:rsidRPr="002032AF" w:rsidRDefault="00E063FB" w:rsidP="003E053F">
      <w:pPr>
        <w:pStyle w:val="Default"/>
        <w:numPr>
          <w:ilvl w:val="0"/>
          <w:numId w:val="9"/>
        </w:numPr>
        <w:spacing w:after="240"/>
        <w:ind w:left="425" w:right="-23" w:hanging="426"/>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w:t>
      </w:r>
    </w:p>
    <w:p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statements as a whole, and in forming my opinion thereon, and I do not provide a separate opinion on these matters.</w:t>
      </w:r>
    </w:p>
    <w:p w:rsidR="00E063FB" w:rsidRPr="00E6461B" w:rsidRDefault="00E063FB" w:rsidP="003E053F">
      <w:pPr>
        <w:pStyle w:val="Default"/>
        <w:spacing w:before="120" w:after="240"/>
        <w:ind w:left="425" w:right="-23"/>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included Audited Procedures are as </w:t>
      </w:r>
      <w:r w:rsidRPr="00E6461B">
        <w:rPr>
          <w:rFonts w:ascii="Times New Roman" w:hAnsi="Times New Roman" w:cs="Times New Roman"/>
          <w:b/>
          <w:bCs/>
          <w:sz w:val="18"/>
          <w:szCs w:val="18"/>
        </w:rPr>
        <w:t>follows:</w:t>
      </w:r>
    </w:p>
    <w:p w:rsidR="00E063FB" w:rsidRPr="002032AF" w:rsidRDefault="00443304" w:rsidP="00817DDD">
      <w:pPr>
        <w:spacing w:after="120" w:line="360" w:lineRule="auto"/>
        <w:ind w:left="426" w:right="-23"/>
        <w:jc w:val="both"/>
        <w:rPr>
          <w:rFonts w:ascii="Times New Roman" w:hAnsi="Times New Roman" w:cs="Times New Roman"/>
          <w:sz w:val="18"/>
          <w:szCs w:val="18"/>
        </w:rPr>
      </w:pPr>
      <w:r w:rsidRPr="00E6461B">
        <w:rPr>
          <w:rFonts w:ascii="Times New Roman" w:hAnsi="Times New Roman" w:cs="Times New Roman"/>
          <w:i/>
          <w:iCs/>
          <w:sz w:val="18"/>
          <w:szCs w:val="18"/>
          <w:u w:val="single"/>
        </w:rPr>
        <w:t>Revenue recognition and Short - term Investment</w:t>
      </w:r>
      <w:r w:rsidRPr="00E6461B">
        <w:rPr>
          <w:rFonts w:ascii="Times New Roman" w:hAnsi="Times New Roman" w:cs="Times New Roman"/>
          <w:sz w:val="18"/>
          <w:szCs w:val="18"/>
        </w:rPr>
        <w:t xml:space="preserve"> : As the statement of income, the </w:t>
      </w:r>
      <w:r w:rsidR="006171DD" w:rsidRPr="00E6461B">
        <w:rPr>
          <w:rFonts w:ascii="Times New Roman" w:hAnsi="Times New Roman" w:cs="Times New Roman"/>
          <w:sz w:val="18"/>
          <w:szCs w:val="18"/>
        </w:rPr>
        <w:t>Group</w:t>
      </w:r>
      <w:r w:rsidRPr="00E6461B">
        <w:rPr>
          <w:rFonts w:ascii="Times New Roman" w:hAnsi="Times New Roman" w:cs="Times New Roman"/>
          <w:sz w:val="18"/>
          <w:szCs w:val="18"/>
        </w:rPr>
        <w:t xml:space="preserve"> presented services income amounting to Baht </w:t>
      </w:r>
      <w:r w:rsidR="00F73861">
        <w:rPr>
          <w:rFonts w:ascii="Times New Roman" w:hAnsi="Times New Roman" w:cs="Times New Roman"/>
          <w:sz w:val="18"/>
          <w:szCs w:val="18"/>
        </w:rPr>
        <w:t>286</w:t>
      </w:r>
      <w:r w:rsidR="007E710F">
        <w:rPr>
          <w:rFonts w:ascii="Times New Roman" w:hAnsi="Times New Roman" w:cs="Times New Roman"/>
          <w:sz w:val="18"/>
          <w:szCs w:val="18"/>
        </w:rPr>
        <w:t>.</w:t>
      </w:r>
      <w:r w:rsidR="00F73861">
        <w:rPr>
          <w:rFonts w:ascii="Times New Roman" w:hAnsi="Times New Roman" w:cs="Times New Roman"/>
          <w:sz w:val="18"/>
          <w:szCs w:val="18"/>
        </w:rPr>
        <w:t>33</w:t>
      </w:r>
      <w:r w:rsidRPr="00E6461B">
        <w:rPr>
          <w:rFonts w:ascii="Times New Roman" w:hAnsi="Times New Roman" w:cs="Times New Roman"/>
          <w:sz w:val="18"/>
          <w:szCs w:val="18"/>
        </w:rPr>
        <w:t xml:space="preserve"> million and unrealized </w:t>
      </w:r>
      <w:r w:rsidR="00116243">
        <w:rPr>
          <w:rFonts w:ascii="Times New Roman" w:hAnsi="Times New Roman" w:cs="Angsana New"/>
          <w:sz w:val="18"/>
          <w:szCs w:val="22"/>
        </w:rPr>
        <w:t>loss</w:t>
      </w:r>
      <w:r w:rsidRPr="00E6461B">
        <w:rPr>
          <w:rFonts w:ascii="Times New Roman" w:hAnsi="Times New Roman" w:cs="Times New Roman"/>
          <w:sz w:val="18"/>
          <w:szCs w:val="18"/>
        </w:rPr>
        <w:t xml:space="preserve"> in trading securities amounting to Baht </w:t>
      </w:r>
      <w:r w:rsidR="00F73861">
        <w:rPr>
          <w:rFonts w:ascii="Times New Roman" w:hAnsi="Times New Roman" w:cs="Times New Roman"/>
          <w:sz w:val="18"/>
          <w:szCs w:val="18"/>
        </w:rPr>
        <w:t>232</w:t>
      </w:r>
      <w:r w:rsidR="007E710F">
        <w:rPr>
          <w:rFonts w:ascii="Times New Roman" w:hAnsi="Times New Roman" w:cs="Times New Roman"/>
          <w:sz w:val="18"/>
          <w:szCs w:val="18"/>
        </w:rPr>
        <w:t>.</w:t>
      </w:r>
      <w:r w:rsidR="00F73861">
        <w:rPr>
          <w:rFonts w:ascii="Times New Roman" w:hAnsi="Times New Roman" w:cs="Times New Roman"/>
          <w:sz w:val="18"/>
          <w:szCs w:val="18"/>
        </w:rPr>
        <w:t>28</w:t>
      </w:r>
      <w:r w:rsidRPr="00E6461B">
        <w:rPr>
          <w:rFonts w:ascii="Times New Roman" w:hAnsi="Times New Roman" w:cs="Times New Roman"/>
          <w:sz w:val="18"/>
          <w:szCs w:val="18"/>
        </w:rPr>
        <w:t xml:space="preserve"> million. The balance of short - term investment has been presented in the </w:t>
      </w:r>
      <w:r w:rsidR="006110F7" w:rsidRPr="00E6461B">
        <w:rPr>
          <w:rFonts w:ascii="Times New Roman" w:hAnsi="Times New Roman" w:cs="Times New Roman"/>
          <w:sz w:val="18"/>
          <w:szCs w:val="18"/>
        </w:rPr>
        <w:t xml:space="preserve">consolidate </w:t>
      </w:r>
      <w:r w:rsidRPr="00E6461B">
        <w:rPr>
          <w:rFonts w:ascii="Times New Roman" w:hAnsi="Times New Roman" w:cs="Times New Roman"/>
          <w:sz w:val="18"/>
          <w:szCs w:val="18"/>
        </w:rPr>
        <w:t>statement</w:t>
      </w:r>
      <w:r w:rsidR="006110F7" w:rsidRPr="00E6461B">
        <w:rPr>
          <w:rFonts w:ascii="Times New Roman" w:hAnsi="Times New Roman" w:cs="Times New Roman"/>
          <w:sz w:val="18"/>
          <w:szCs w:val="18"/>
        </w:rPr>
        <w:t>s of financial position</w:t>
      </w:r>
      <w:r w:rsidRPr="00E6461B">
        <w:rPr>
          <w:rFonts w:ascii="Times New Roman" w:hAnsi="Times New Roman" w:cs="Times New Roman"/>
          <w:sz w:val="18"/>
          <w:szCs w:val="18"/>
        </w:rPr>
        <w:t xml:space="preserve"> </w:t>
      </w:r>
      <w:r w:rsidR="006110F7" w:rsidRPr="00E6461B">
        <w:rPr>
          <w:rFonts w:ascii="Times New Roman" w:hAnsi="Times New Roman" w:cs="Times New Roman"/>
          <w:sz w:val="18"/>
          <w:szCs w:val="18"/>
        </w:rPr>
        <w:t xml:space="preserve">amounting to Baht </w:t>
      </w:r>
      <w:r w:rsidR="00F73861">
        <w:rPr>
          <w:rFonts w:ascii="Times New Roman" w:hAnsi="Times New Roman" w:cs="Times New Roman"/>
          <w:sz w:val="18"/>
          <w:szCs w:val="18"/>
        </w:rPr>
        <w:t>882</w:t>
      </w:r>
      <w:r w:rsidR="006110F7" w:rsidRPr="00E6461B">
        <w:rPr>
          <w:rFonts w:ascii="Times New Roman" w:hAnsi="Times New Roman" w:cs="Times New Roman"/>
          <w:sz w:val="18"/>
          <w:szCs w:val="18"/>
        </w:rPr>
        <w:t>.</w:t>
      </w:r>
      <w:r w:rsidR="00F73861">
        <w:rPr>
          <w:rFonts w:ascii="Times New Roman" w:hAnsi="Times New Roman" w:cs="Times New Roman"/>
          <w:sz w:val="18"/>
          <w:szCs w:val="18"/>
        </w:rPr>
        <w:t>3</w:t>
      </w:r>
      <w:r w:rsidR="007E710F">
        <w:rPr>
          <w:rFonts w:ascii="Times New Roman" w:hAnsi="Times New Roman" w:cs="Times New Roman"/>
          <w:sz w:val="18"/>
          <w:szCs w:val="18"/>
        </w:rPr>
        <w:t>8</w:t>
      </w:r>
      <w:r w:rsidR="006110F7" w:rsidRPr="00E6461B">
        <w:rPr>
          <w:rFonts w:ascii="Times New Roman" w:hAnsi="Times New Roman" w:cs="Times New Roman"/>
          <w:sz w:val="18"/>
          <w:szCs w:val="18"/>
        </w:rPr>
        <w:t xml:space="preserve"> million. The “Group” determines to apply its accounting policy </w:t>
      </w:r>
      <w:r w:rsidR="00D87BA7" w:rsidRPr="00E6461B">
        <w:rPr>
          <w:rFonts w:ascii="Times New Roman" w:hAnsi="Times New Roman" w:cs="Times New Roman"/>
          <w:sz w:val="18"/>
          <w:szCs w:val="18"/>
        </w:rPr>
        <w:t>in note 1.51 revenue recognition and</w:t>
      </w:r>
      <w:r w:rsidR="006171DD" w:rsidRPr="00E6461B">
        <w:rPr>
          <w:rFonts w:ascii="Times New Roman" w:hAnsi="Times New Roman" w:cs="Times New Roman"/>
          <w:sz w:val="18"/>
          <w:szCs w:val="18"/>
        </w:rPr>
        <w:t xml:space="preserve"> note</w:t>
      </w:r>
      <w:r w:rsidR="00D87BA7" w:rsidRPr="00E6461B">
        <w:rPr>
          <w:rFonts w:ascii="Times New Roman" w:hAnsi="Times New Roman" w:cs="Times New Roman"/>
          <w:sz w:val="18"/>
          <w:szCs w:val="18"/>
        </w:rPr>
        <w:t xml:space="preserve"> 1.5.4 short - term investment</w:t>
      </w:r>
      <w:r w:rsidR="006171DD" w:rsidRPr="00E6461B">
        <w:rPr>
          <w:rFonts w:ascii="Times New Roman" w:hAnsi="Times New Roman" w:cs="Times New Roman"/>
          <w:sz w:val="18"/>
          <w:szCs w:val="18"/>
        </w:rPr>
        <w:t>,</w:t>
      </w:r>
      <w:r w:rsidR="00D87BA7" w:rsidRPr="00E6461B">
        <w:rPr>
          <w:rFonts w:ascii="Times New Roman" w:hAnsi="Times New Roman" w:cs="Times New Roman"/>
          <w:sz w:val="18"/>
          <w:szCs w:val="18"/>
        </w:rPr>
        <w:t xml:space="preserve"> to financial statement, and disclosure in note 4 short - term investment to financial</w:t>
      </w:r>
      <w:r w:rsidR="00D87BA7" w:rsidRPr="002032AF">
        <w:rPr>
          <w:rFonts w:ascii="Times New Roman" w:hAnsi="Times New Roman" w:cs="Times New Roman"/>
          <w:sz w:val="18"/>
          <w:szCs w:val="18"/>
        </w:rPr>
        <w:t xml:space="preserve"> statement.</w:t>
      </w:r>
    </w:p>
    <w:p w:rsidR="002A2CC1" w:rsidRPr="002032AF" w:rsidRDefault="00D87BA7" w:rsidP="00817DDD">
      <w:pPr>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lastRenderedPageBreak/>
        <w:t xml:space="preserve">Due to </w:t>
      </w:r>
      <w:r w:rsidR="00D46D9B" w:rsidRPr="002032AF">
        <w:rPr>
          <w:rFonts w:ascii="Times New Roman" w:hAnsi="Times New Roman" w:cs="Times New Roman"/>
          <w:sz w:val="18"/>
          <w:szCs w:val="18"/>
        </w:rPr>
        <w:t xml:space="preserve">revenue </w:t>
      </w:r>
      <w:r w:rsidRPr="002032AF">
        <w:rPr>
          <w:rFonts w:ascii="Times New Roman" w:hAnsi="Times New Roman" w:cs="Times New Roman"/>
          <w:sz w:val="18"/>
          <w:szCs w:val="18"/>
        </w:rPr>
        <w:t xml:space="preserve">is </w:t>
      </w:r>
      <w:r w:rsidR="00D46D9B" w:rsidRPr="002032AF">
        <w:rPr>
          <w:rFonts w:ascii="Times New Roman" w:hAnsi="Times New Roman" w:cs="Times New Roman"/>
          <w:sz w:val="18"/>
          <w:szCs w:val="18"/>
        </w:rPr>
        <w:t xml:space="preserve">a </w:t>
      </w:r>
      <w:r w:rsidRPr="002032AF">
        <w:rPr>
          <w:rFonts w:ascii="Times New Roman" w:hAnsi="Times New Roman" w:cs="Times New Roman"/>
          <w:sz w:val="18"/>
          <w:szCs w:val="18"/>
        </w:rPr>
        <w:t xml:space="preserve">significant transaction </w:t>
      </w:r>
      <w:r w:rsidR="009E0455" w:rsidRPr="002032AF">
        <w:rPr>
          <w:rFonts w:ascii="Times New Roman" w:hAnsi="Times New Roman" w:cs="Times New Roman"/>
          <w:sz w:val="18"/>
          <w:szCs w:val="18"/>
        </w:rPr>
        <w:t>in presenting</w:t>
      </w:r>
      <w:r w:rsidR="00D46D9B" w:rsidRPr="002032AF">
        <w:rPr>
          <w:rFonts w:ascii="Times New Roman" w:hAnsi="Times New Roman" w:cs="Times New Roman"/>
          <w:sz w:val="18"/>
          <w:szCs w:val="18"/>
        </w:rPr>
        <w:t xml:space="preserve"> the “Group” performance, even the structure of revenue recognition </w:t>
      </w:r>
      <w:r w:rsidR="00BF5285" w:rsidRPr="002032AF">
        <w:rPr>
          <w:rFonts w:ascii="Times New Roman" w:hAnsi="Times New Roman" w:cs="Times New Roman"/>
          <w:sz w:val="18"/>
          <w:szCs w:val="18"/>
        </w:rPr>
        <w:t xml:space="preserve">as the contract </w:t>
      </w:r>
      <w:r w:rsidR="00D46D9B" w:rsidRPr="002032AF">
        <w:rPr>
          <w:rFonts w:ascii="Times New Roman" w:hAnsi="Times New Roman" w:cs="Times New Roman"/>
          <w:sz w:val="18"/>
          <w:szCs w:val="18"/>
        </w:rPr>
        <w:t xml:space="preserve">is not complex, </w:t>
      </w:r>
      <w:r w:rsidR="00BF5285" w:rsidRPr="002032AF">
        <w:rPr>
          <w:rFonts w:ascii="Times New Roman" w:hAnsi="Times New Roman" w:cs="Times New Roman"/>
          <w:sz w:val="18"/>
          <w:szCs w:val="18"/>
        </w:rPr>
        <w:t xml:space="preserve">but the compensation condition of key contracts are set forth </w:t>
      </w:r>
      <w:r w:rsidR="009E0455" w:rsidRPr="002032AF">
        <w:rPr>
          <w:rFonts w:ascii="Times New Roman" w:hAnsi="Times New Roman" w:cs="Times New Roman"/>
          <w:sz w:val="18"/>
          <w:szCs w:val="18"/>
        </w:rPr>
        <w:t xml:space="preserve">as success fee, which the amount of each contract is high value. </w:t>
      </w:r>
    </w:p>
    <w:p w:rsidR="00E063FB" w:rsidRDefault="009E0455" w:rsidP="00817DDD">
      <w:pPr>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addition, the “Group” has invested </w:t>
      </w:r>
      <w:r w:rsidR="002A2CC1" w:rsidRPr="002032AF">
        <w:rPr>
          <w:rFonts w:ascii="Times New Roman" w:hAnsi="Times New Roman" w:cs="Times New Roman"/>
          <w:sz w:val="18"/>
          <w:szCs w:val="18"/>
        </w:rPr>
        <w:t xml:space="preserve">in </w:t>
      </w:r>
      <w:r w:rsidRPr="002032AF">
        <w:rPr>
          <w:rFonts w:ascii="Times New Roman" w:hAnsi="Times New Roman" w:cs="Times New Roman"/>
          <w:sz w:val="18"/>
          <w:szCs w:val="18"/>
        </w:rPr>
        <w:t>high amount (</w:t>
      </w:r>
      <w:r w:rsidR="00F73861">
        <w:rPr>
          <w:rFonts w:ascii="Times New Roman" w:hAnsi="Times New Roman" w:cs="Times New Roman"/>
          <w:sz w:val="18"/>
          <w:szCs w:val="18"/>
        </w:rPr>
        <w:t>31</w:t>
      </w:r>
      <w:r w:rsidR="002A2CC1" w:rsidRPr="002032AF">
        <w:rPr>
          <w:rFonts w:ascii="Times New Roman" w:hAnsi="Times New Roman" w:cs="Times New Roman"/>
          <w:sz w:val="18"/>
          <w:szCs w:val="18"/>
        </w:rPr>
        <w:t>.</w:t>
      </w:r>
      <w:r w:rsidR="00F73861">
        <w:rPr>
          <w:rFonts w:ascii="Times New Roman" w:hAnsi="Times New Roman" w:cs="Times New Roman"/>
          <w:sz w:val="18"/>
          <w:szCs w:val="18"/>
        </w:rPr>
        <w:t>91</w:t>
      </w:r>
      <w:r w:rsidR="002A2CC1" w:rsidRPr="002032AF">
        <w:rPr>
          <w:rFonts w:ascii="Times New Roman" w:hAnsi="Times New Roman" w:cs="Times New Roman"/>
          <w:sz w:val="18"/>
          <w:szCs w:val="18"/>
        </w:rPr>
        <w:t>% of total assets</w:t>
      </w:r>
      <w:r w:rsidRPr="002032AF">
        <w:rPr>
          <w:rFonts w:ascii="Times New Roman" w:hAnsi="Times New Roman" w:cs="Times New Roman"/>
          <w:sz w:val="18"/>
          <w:szCs w:val="18"/>
        </w:rPr>
        <w:t xml:space="preserve">) </w:t>
      </w:r>
      <w:r w:rsidR="002A2CC1" w:rsidRPr="002032AF">
        <w:rPr>
          <w:rFonts w:ascii="Times New Roman" w:hAnsi="Times New Roman" w:cs="Times New Roman"/>
          <w:sz w:val="18"/>
          <w:szCs w:val="18"/>
        </w:rPr>
        <w:t>of</w:t>
      </w:r>
      <w:r w:rsidRPr="002032AF">
        <w:rPr>
          <w:rFonts w:ascii="Times New Roman" w:hAnsi="Times New Roman" w:cs="Times New Roman"/>
          <w:sz w:val="18"/>
          <w:szCs w:val="18"/>
        </w:rPr>
        <w:t xml:space="preserve"> </w:t>
      </w:r>
      <w:r w:rsidR="002A2CC1" w:rsidRPr="002032AF">
        <w:rPr>
          <w:rFonts w:ascii="Times New Roman" w:hAnsi="Times New Roman" w:cs="Times New Roman"/>
          <w:sz w:val="18"/>
          <w:szCs w:val="18"/>
        </w:rPr>
        <w:t xml:space="preserve">trading securities and private fund, </w:t>
      </w:r>
      <w:r w:rsidR="00325899" w:rsidRPr="002032AF">
        <w:rPr>
          <w:rFonts w:ascii="Times New Roman" w:hAnsi="Times New Roman" w:cs="Times New Roman"/>
          <w:sz w:val="18"/>
          <w:szCs w:val="18"/>
        </w:rPr>
        <w:t>which</w:t>
      </w:r>
      <w:r w:rsidR="002A2CC1" w:rsidRPr="002032AF">
        <w:rPr>
          <w:rFonts w:ascii="Times New Roman" w:hAnsi="Times New Roman" w:cs="Times New Roman"/>
          <w:sz w:val="18"/>
          <w:szCs w:val="18"/>
        </w:rPr>
        <w:t xml:space="preserve"> to be marked</w:t>
      </w:r>
      <w:r w:rsidR="002032AF" w:rsidRPr="002032AF">
        <w:rPr>
          <w:rFonts w:ascii="Times New Roman" w:hAnsi="Times New Roman" w:cs="Times New Roman"/>
          <w:sz w:val="18"/>
          <w:szCs w:val="18"/>
        </w:rPr>
        <w:t xml:space="preserve"> the book value</w:t>
      </w:r>
      <w:r w:rsidR="002A2CC1" w:rsidRPr="002032AF">
        <w:rPr>
          <w:rFonts w:ascii="Times New Roman" w:hAnsi="Times New Roman" w:cs="Times New Roman"/>
          <w:sz w:val="18"/>
          <w:szCs w:val="18"/>
        </w:rPr>
        <w:t xml:space="preserve"> to fair value on each end of accounting periods</w:t>
      </w:r>
      <w:r w:rsidR="002032AF" w:rsidRPr="002032AF">
        <w:rPr>
          <w:rFonts w:ascii="Times New Roman" w:hAnsi="Times New Roman" w:cs="Times New Roman"/>
          <w:sz w:val="18"/>
          <w:szCs w:val="18"/>
        </w:rPr>
        <w:t>,</w:t>
      </w:r>
      <w:r w:rsidR="002A2CC1" w:rsidRPr="002032AF">
        <w:rPr>
          <w:rFonts w:ascii="Times New Roman" w:hAnsi="Times New Roman" w:cs="Times New Roman"/>
          <w:sz w:val="18"/>
          <w:szCs w:val="18"/>
        </w:rPr>
        <w:t xml:space="preserve"> base</w:t>
      </w:r>
      <w:r w:rsidR="002032AF" w:rsidRPr="002032AF">
        <w:rPr>
          <w:rFonts w:ascii="Times New Roman" w:hAnsi="Times New Roman" w:cs="Times New Roman"/>
          <w:sz w:val="18"/>
          <w:szCs w:val="18"/>
        </w:rPr>
        <w:t>d</w:t>
      </w:r>
      <w:r w:rsidR="002A2CC1" w:rsidRPr="002032AF">
        <w:rPr>
          <w:rFonts w:ascii="Times New Roman" w:hAnsi="Times New Roman" w:cs="Times New Roman"/>
          <w:sz w:val="18"/>
          <w:szCs w:val="18"/>
        </w:rPr>
        <w:t xml:space="preserve"> on the various source of information </w:t>
      </w:r>
      <w:r w:rsidR="00EF5561">
        <w:rPr>
          <w:rFonts w:ascii="Times New Roman" w:hAnsi="Times New Roman" w:cs="Times New Roman"/>
          <w:sz w:val="18"/>
          <w:szCs w:val="18"/>
        </w:rPr>
        <w:t xml:space="preserve">which </w:t>
      </w:r>
      <w:r w:rsidR="00325899" w:rsidRPr="002032AF">
        <w:rPr>
          <w:rFonts w:ascii="Times New Roman" w:hAnsi="Times New Roman" w:cs="Times New Roman"/>
          <w:sz w:val="18"/>
          <w:szCs w:val="18"/>
        </w:rPr>
        <w:t xml:space="preserve">risk in error and discrepancy may be </w:t>
      </w:r>
      <w:r w:rsidR="00EE6A9C" w:rsidRPr="002032AF">
        <w:rPr>
          <w:rFonts w:ascii="Times New Roman" w:hAnsi="Times New Roman" w:cs="Times New Roman"/>
          <w:sz w:val="18"/>
          <w:szCs w:val="18"/>
        </w:rPr>
        <w:t>arising</w:t>
      </w:r>
      <w:r w:rsidR="00325899" w:rsidRPr="002032AF">
        <w:rPr>
          <w:rFonts w:ascii="Times New Roman" w:hAnsi="Times New Roman" w:cs="Times New Roman"/>
          <w:sz w:val="18"/>
          <w:szCs w:val="18"/>
        </w:rPr>
        <w:t>.</w:t>
      </w:r>
    </w:p>
    <w:p w:rsidR="00325899" w:rsidRPr="002032AF" w:rsidRDefault="00EF5561" w:rsidP="00817DDD">
      <w:pPr>
        <w:spacing w:after="120" w:line="360" w:lineRule="auto"/>
        <w:ind w:left="426" w:right="-23"/>
        <w:jc w:val="thaiDistribute"/>
        <w:rPr>
          <w:rFonts w:ascii="Times New Roman" w:hAnsi="Times New Roman" w:cs="Times New Roman"/>
          <w:sz w:val="18"/>
          <w:szCs w:val="18"/>
        </w:rPr>
      </w:pPr>
      <w:r>
        <w:rPr>
          <w:rFonts w:ascii="Times New Roman" w:hAnsi="Times New Roman" w:cs="Times New Roman"/>
          <w:sz w:val="18"/>
          <w:szCs w:val="18"/>
        </w:rPr>
        <w:t>Therefore</w:t>
      </w:r>
      <w:r w:rsidR="007E710F">
        <w:rPr>
          <w:rFonts w:ascii="Times New Roman" w:hAnsi="Times New Roman" w:cs="Times New Roman"/>
          <w:sz w:val="18"/>
          <w:szCs w:val="18"/>
        </w:rPr>
        <w:t>,</w:t>
      </w:r>
      <w:r>
        <w:rPr>
          <w:rFonts w:ascii="Times New Roman" w:hAnsi="Times New Roman" w:cs="Times New Roman"/>
          <w:sz w:val="18"/>
          <w:szCs w:val="18"/>
        </w:rPr>
        <w:t xml:space="preserve"> M</w:t>
      </w:r>
      <w:r w:rsidR="00642DCF" w:rsidRPr="002032AF">
        <w:rPr>
          <w:rFonts w:ascii="Times New Roman" w:hAnsi="Times New Roman" w:cs="Times New Roman"/>
          <w:sz w:val="18"/>
          <w:szCs w:val="18"/>
        </w:rPr>
        <w:t xml:space="preserve">y </w:t>
      </w:r>
      <w:r w:rsidR="00CB7BD7" w:rsidRPr="002032AF">
        <w:rPr>
          <w:rFonts w:ascii="Times New Roman" w:hAnsi="Times New Roman" w:cs="Times New Roman"/>
          <w:sz w:val="18"/>
          <w:szCs w:val="18"/>
        </w:rPr>
        <w:t>Audited Procedures</w:t>
      </w:r>
      <w:r w:rsidR="00642DCF" w:rsidRPr="002032AF">
        <w:rPr>
          <w:rFonts w:ascii="Times New Roman" w:hAnsi="Times New Roman" w:cs="Times New Roman"/>
          <w:sz w:val="18"/>
          <w:szCs w:val="18"/>
        </w:rPr>
        <w:t xml:space="preserve"> to the Key Audit Matters</w:t>
      </w:r>
      <w:r w:rsidR="0067756E">
        <w:rPr>
          <w:rFonts w:ascii="Times New Roman" w:hAnsi="Times New Roman" w:cs="Times New Roman"/>
          <w:sz w:val="18"/>
          <w:szCs w:val="18"/>
        </w:rPr>
        <w:t xml:space="preserve"> are as follow;</w:t>
      </w:r>
    </w:p>
    <w:p w:rsidR="00642DCF" w:rsidRPr="002032AF" w:rsidRDefault="00642DCF" w:rsidP="00817DDD">
      <w:pPr>
        <w:numPr>
          <w:ilvl w:val="0"/>
          <w:numId w:val="8"/>
        </w:numPr>
        <w:spacing w:after="120" w:line="360" w:lineRule="auto"/>
        <w:ind w:left="1134" w:right="-23" w:hanging="425"/>
        <w:jc w:val="thaiDistribute"/>
        <w:rPr>
          <w:rFonts w:ascii="Times New Roman" w:hAnsi="Times New Roman" w:cs="Times New Roman"/>
          <w:sz w:val="18"/>
          <w:szCs w:val="18"/>
        </w:rPr>
      </w:pPr>
      <w:r w:rsidRPr="002032AF">
        <w:rPr>
          <w:rFonts w:ascii="Times New Roman" w:hAnsi="Times New Roman" w:cs="Times New Roman"/>
          <w:sz w:val="18"/>
          <w:szCs w:val="18"/>
        </w:rPr>
        <w:t>Revenue recognition on service incomes</w:t>
      </w:r>
    </w:p>
    <w:p w:rsidR="00642DCF" w:rsidRPr="002032AF" w:rsidRDefault="00642DCF" w:rsidP="00817DDD">
      <w:pPr>
        <w:spacing w:after="120" w:line="240" w:lineRule="auto"/>
        <w:ind w:left="1134"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the internal control </w:t>
      </w:r>
      <w:r w:rsidR="00B00577" w:rsidRPr="002032AF">
        <w:rPr>
          <w:rFonts w:ascii="Times New Roman" w:hAnsi="Times New Roman" w:cs="Times New Roman"/>
          <w:sz w:val="18"/>
          <w:szCs w:val="18"/>
        </w:rPr>
        <w:t xml:space="preserve">systems together with </w:t>
      </w:r>
      <w:r w:rsidRPr="002032AF">
        <w:rPr>
          <w:rFonts w:ascii="Times New Roman" w:hAnsi="Times New Roman" w:cs="Times New Roman"/>
          <w:sz w:val="18"/>
          <w:szCs w:val="18"/>
        </w:rPr>
        <w:t>substantive test</w:t>
      </w:r>
      <w:r w:rsidR="00B00577" w:rsidRPr="002032AF">
        <w:rPr>
          <w:rFonts w:ascii="Times New Roman" w:hAnsi="Times New Roman" w:cs="Times New Roman"/>
          <w:sz w:val="18"/>
          <w:szCs w:val="18"/>
        </w:rPr>
        <w:t xml:space="preserve"> the recording transaction of</w:t>
      </w:r>
      <w:r w:rsidRPr="002032AF">
        <w:rPr>
          <w:rFonts w:ascii="Times New Roman" w:hAnsi="Times New Roman" w:cs="Times New Roman"/>
          <w:sz w:val="18"/>
          <w:szCs w:val="18"/>
        </w:rPr>
        <w:t xml:space="preserve"> the selected samples</w:t>
      </w:r>
      <w:r w:rsidR="00B00577" w:rsidRPr="002032AF">
        <w:rPr>
          <w:rFonts w:ascii="Times New Roman" w:hAnsi="Times New Roman" w:cs="Times New Roman"/>
          <w:sz w:val="18"/>
          <w:szCs w:val="18"/>
        </w:rPr>
        <w:t>.</w:t>
      </w:r>
      <w:r w:rsidRPr="002032AF">
        <w:rPr>
          <w:rFonts w:ascii="Times New Roman" w:hAnsi="Times New Roman" w:cs="Times New Roman"/>
          <w:sz w:val="18"/>
          <w:szCs w:val="18"/>
        </w:rPr>
        <w:t xml:space="preserve"> </w:t>
      </w:r>
    </w:p>
    <w:p w:rsidR="00642DCF" w:rsidRPr="002032AF" w:rsidRDefault="00642DCF" w:rsidP="00817DDD">
      <w:pPr>
        <w:numPr>
          <w:ilvl w:val="0"/>
          <w:numId w:val="8"/>
        </w:numPr>
        <w:spacing w:after="120" w:line="240" w:lineRule="auto"/>
        <w:ind w:left="1134" w:right="-23" w:hanging="425"/>
        <w:jc w:val="thaiDistribute"/>
        <w:rPr>
          <w:rFonts w:ascii="Times New Roman" w:hAnsi="Times New Roman" w:cs="Times New Roman"/>
          <w:sz w:val="18"/>
          <w:szCs w:val="18"/>
        </w:rPr>
      </w:pPr>
      <w:r w:rsidRPr="002032AF">
        <w:rPr>
          <w:rFonts w:ascii="Times New Roman" w:hAnsi="Times New Roman" w:cs="Times New Roman"/>
          <w:sz w:val="18"/>
          <w:szCs w:val="18"/>
        </w:rPr>
        <w:t>Short - term Investment</w:t>
      </w:r>
    </w:p>
    <w:p w:rsidR="00B00577" w:rsidRDefault="00B00577" w:rsidP="003E053F">
      <w:pPr>
        <w:spacing w:after="240" w:line="240" w:lineRule="auto"/>
        <w:ind w:left="1134"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internal control of investment process together with substantive test </w:t>
      </w:r>
      <w:r w:rsidR="00EE6A9C" w:rsidRPr="002032AF">
        <w:rPr>
          <w:rFonts w:ascii="Times New Roman" w:hAnsi="Times New Roman" w:cs="Times New Roman"/>
          <w:sz w:val="18"/>
          <w:szCs w:val="18"/>
        </w:rPr>
        <w:t xml:space="preserve">of selected samples from </w:t>
      </w:r>
      <w:r w:rsidRPr="002032AF">
        <w:rPr>
          <w:rFonts w:ascii="Times New Roman" w:hAnsi="Times New Roman" w:cs="Times New Roman"/>
          <w:sz w:val="18"/>
          <w:szCs w:val="18"/>
        </w:rPr>
        <w:t>the</w:t>
      </w:r>
      <w:r w:rsidR="002032AF" w:rsidRPr="002032AF">
        <w:rPr>
          <w:rFonts w:ascii="Times New Roman" w:hAnsi="Times New Roman" w:cs="Times New Roman"/>
          <w:sz w:val="18"/>
          <w:szCs w:val="18"/>
        </w:rPr>
        <w:t xml:space="preserve"> Investment</w:t>
      </w:r>
      <w:r w:rsidRPr="002032AF">
        <w:rPr>
          <w:rFonts w:ascii="Times New Roman" w:hAnsi="Times New Roman" w:cs="Times New Roman"/>
          <w:sz w:val="18"/>
          <w:szCs w:val="18"/>
        </w:rPr>
        <w:t xml:space="preserve"> fair value report, including </w:t>
      </w:r>
      <w:r w:rsidR="00EE6A9C" w:rsidRPr="002032AF">
        <w:rPr>
          <w:rFonts w:ascii="Times New Roman" w:hAnsi="Times New Roman" w:cs="Times New Roman"/>
          <w:sz w:val="18"/>
          <w:szCs w:val="18"/>
        </w:rPr>
        <w:t xml:space="preserve">adjustment of the </w:t>
      </w:r>
      <w:r w:rsidRPr="002032AF">
        <w:rPr>
          <w:rFonts w:ascii="Times New Roman" w:hAnsi="Times New Roman" w:cs="Times New Roman"/>
          <w:sz w:val="18"/>
          <w:szCs w:val="18"/>
        </w:rPr>
        <w:t>fair value</w:t>
      </w:r>
      <w:r w:rsidR="00EE6A9C" w:rsidRPr="002032AF">
        <w:rPr>
          <w:rFonts w:ascii="Times New Roman" w:hAnsi="Times New Roman" w:cs="Times New Roman"/>
          <w:sz w:val="18"/>
          <w:szCs w:val="18"/>
        </w:rPr>
        <w:t xml:space="preserve"> of the investments</w:t>
      </w:r>
      <w:r w:rsidRPr="002032AF">
        <w:rPr>
          <w:rFonts w:ascii="Times New Roman" w:hAnsi="Times New Roman" w:cs="Times New Roman"/>
          <w:sz w:val="18"/>
          <w:szCs w:val="18"/>
        </w:rPr>
        <w:t xml:space="preserve"> and </w:t>
      </w:r>
      <w:r w:rsidR="00EE6A9C" w:rsidRPr="002032AF">
        <w:rPr>
          <w:rFonts w:ascii="Times New Roman" w:hAnsi="Times New Roman" w:cs="Times New Roman"/>
          <w:sz w:val="18"/>
          <w:szCs w:val="18"/>
        </w:rPr>
        <w:t>unrealized gain</w:t>
      </w:r>
      <w:r w:rsidR="002032AF" w:rsidRPr="002032AF">
        <w:rPr>
          <w:rFonts w:ascii="Times New Roman" w:hAnsi="Times New Roman" w:cs="Times New Roman"/>
          <w:sz w:val="18"/>
          <w:szCs w:val="18"/>
        </w:rPr>
        <w:t xml:space="preserve"> or loss</w:t>
      </w:r>
      <w:r w:rsidR="00EE6A9C" w:rsidRPr="002032AF">
        <w:rPr>
          <w:rFonts w:ascii="Times New Roman" w:hAnsi="Times New Roman" w:cs="Times New Roman"/>
          <w:sz w:val="18"/>
          <w:szCs w:val="18"/>
        </w:rPr>
        <w:t xml:space="preserve"> in </w:t>
      </w:r>
      <w:r w:rsidR="002032AF" w:rsidRPr="002032AF">
        <w:rPr>
          <w:rFonts w:ascii="Times New Roman" w:hAnsi="Times New Roman" w:cs="Times New Roman"/>
          <w:sz w:val="18"/>
          <w:szCs w:val="18"/>
        </w:rPr>
        <w:t>the investments</w:t>
      </w:r>
      <w:r w:rsidRPr="002032AF">
        <w:rPr>
          <w:rFonts w:ascii="Times New Roman" w:hAnsi="Times New Roman" w:cs="Times New Roman"/>
          <w:sz w:val="18"/>
          <w:szCs w:val="18"/>
        </w:rPr>
        <w:t>.</w:t>
      </w:r>
    </w:p>
    <w:p w:rsidR="00F56F2F" w:rsidRPr="00817DDD" w:rsidRDefault="00F56F2F" w:rsidP="003E053F">
      <w:pPr>
        <w:pStyle w:val="ListParagraph"/>
        <w:numPr>
          <w:ilvl w:val="0"/>
          <w:numId w:val="9"/>
        </w:numPr>
        <w:spacing w:before="120" w:after="240"/>
        <w:ind w:left="426" w:right="-23" w:hanging="426"/>
        <w:jc w:val="both"/>
        <w:rPr>
          <w:rFonts w:ascii="Times New Roman" w:hAnsi="Times New Roman" w:cs="Times New Roman"/>
          <w:b/>
          <w:bCs/>
          <w:sz w:val="18"/>
          <w:szCs w:val="18"/>
        </w:rPr>
      </w:pPr>
      <w:r w:rsidRPr="00817DDD">
        <w:rPr>
          <w:rFonts w:ascii="Times New Roman" w:hAnsi="Times New Roman" w:cs="Times New Roman"/>
          <w:b/>
          <w:bCs/>
          <w:sz w:val="18"/>
          <w:szCs w:val="18"/>
        </w:rPr>
        <w:t>Other matter</w:t>
      </w:r>
    </w:p>
    <w:p w:rsidR="00997B85" w:rsidRPr="00997B85" w:rsidRDefault="00F56F2F" w:rsidP="003E053F">
      <w:pPr>
        <w:pStyle w:val="ListParagraph"/>
        <w:spacing w:before="120" w:after="240" w:line="360" w:lineRule="auto"/>
        <w:ind w:left="425" w:right="-23"/>
        <w:jc w:val="both"/>
        <w:rPr>
          <w:rFonts w:ascii="Times New Roman" w:hAnsi="Times New Roman" w:cs="Times New Roman"/>
          <w:sz w:val="18"/>
          <w:szCs w:val="18"/>
        </w:rPr>
      </w:pPr>
      <w:r w:rsidRPr="00F56F2F">
        <w:rPr>
          <w:rFonts w:ascii="Times New Roman" w:hAnsi="Times New Roman" w:cs="Times New Roman"/>
          <w:sz w:val="18"/>
          <w:szCs w:val="18"/>
        </w:rPr>
        <w:t xml:space="preserve">The Consolidated financial statements of </w:t>
      </w:r>
      <w:r w:rsidRPr="002032AF">
        <w:rPr>
          <w:rFonts w:ascii="Times New Roman" w:hAnsi="Times New Roman" w:cs="Times New Roman"/>
          <w:sz w:val="18"/>
          <w:szCs w:val="18"/>
        </w:rPr>
        <w:t>The Brooker Group</w:t>
      </w:r>
      <w:r w:rsidR="00E13649">
        <w:rPr>
          <w:rFonts w:ascii="Times New Roman" w:hAnsi="Times New Roman" w:cstheme="minorBidi" w:hint="cs"/>
          <w:sz w:val="18"/>
          <w:szCs w:val="18"/>
          <w:cs/>
        </w:rPr>
        <w:t xml:space="preserve"> </w:t>
      </w:r>
      <w:r w:rsidRPr="002032AF">
        <w:rPr>
          <w:rFonts w:ascii="Times New Roman" w:hAnsi="Times New Roman" w:cs="Times New Roman"/>
          <w:sz w:val="18"/>
          <w:szCs w:val="18"/>
        </w:rPr>
        <w:t>Public</w:t>
      </w:r>
      <w:r>
        <w:rPr>
          <w:rFonts w:ascii="Times New Roman" w:hAnsi="Times New Roman" w:cs="Times New Roman"/>
          <w:sz w:val="18"/>
          <w:szCs w:val="18"/>
        </w:rPr>
        <w:t xml:space="preserve"> </w:t>
      </w:r>
      <w:r w:rsidRPr="002032AF">
        <w:rPr>
          <w:rFonts w:ascii="Times New Roman" w:hAnsi="Times New Roman" w:cs="Times New Roman"/>
          <w:sz w:val="18"/>
          <w:szCs w:val="18"/>
        </w:rPr>
        <w:t xml:space="preserve">Company Limited </w:t>
      </w:r>
      <w:r w:rsidRPr="00F56F2F">
        <w:rPr>
          <w:rFonts w:ascii="Times New Roman" w:hAnsi="Times New Roman" w:cs="Times New Roman"/>
          <w:sz w:val="18"/>
          <w:szCs w:val="18"/>
        </w:rPr>
        <w:t xml:space="preserve">and its subsidiaries and the Separate financial statement for the year ended December 31, 2017, as presented herein for comparative purposes were audited by another auditor in my office, in accordance with auditing standards, and expressed an unqualified opinion on those statements in his report dated February </w:t>
      </w:r>
      <w:r>
        <w:rPr>
          <w:rFonts w:ascii="Times New Roman" w:hAnsi="Times New Roman" w:cs="Times New Roman"/>
          <w:sz w:val="18"/>
          <w:szCs w:val="18"/>
        </w:rPr>
        <w:t>19</w:t>
      </w:r>
      <w:r w:rsidRPr="00F56F2F">
        <w:rPr>
          <w:rFonts w:ascii="Times New Roman" w:hAnsi="Times New Roman" w:cs="Times New Roman"/>
          <w:sz w:val="18"/>
          <w:szCs w:val="18"/>
        </w:rPr>
        <w:t>, 2018.</w:t>
      </w:r>
    </w:p>
    <w:p w:rsidR="00E063FB" w:rsidRPr="00997B85"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997B85">
        <w:rPr>
          <w:rFonts w:ascii="Times New Roman" w:hAnsi="Times New Roman" w:cs="Times New Roman"/>
          <w:b/>
          <w:bCs/>
          <w:sz w:val="18"/>
          <w:szCs w:val="18"/>
        </w:rPr>
        <w:t xml:space="preserve">Other Information </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other information. The other information comprise the information included in the annual report of the Group, but does not include the financial statements and my auditor’s report thereon, which is expected to be made available to me after the date of this auditor’s report.</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opinion on the consolidated and separate financial statements does not cover the other information and I do not express any form of assurance conclusion thereon.</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connection with my audit of the consolidated and separate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w:t>
      </w:r>
    </w:p>
    <w:p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When I read the annual report, if I conclude that there is a material misstatement therein, I am required to communicate the matter to those charged with governance and the management of the Group.</w:t>
      </w:r>
    </w:p>
    <w:p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pacing w:val="-4"/>
          <w:sz w:val="18"/>
          <w:szCs w:val="18"/>
        </w:rPr>
        <w:t>Responsibilities of Management and Those Charged with Governance for the Consolidated</w:t>
      </w:r>
      <w:r w:rsidRPr="00F56F2F">
        <w:rPr>
          <w:rFonts w:ascii="Times New Roman" w:hAnsi="Times New Roman" w:cs="Times New Roman"/>
          <w:b/>
          <w:bCs/>
          <w:sz w:val="18"/>
          <w:szCs w:val="18"/>
        </w:rPr>
        <w:t xml:space="preserve"> and Separate Financial Statements</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preparation and fair presentation of the consolidated and separate</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financial statements in accordance with TFRSs, and for such internal control as management determines is necessary to enable the preparation of consolidated and separate financial statements that are free from material misstatement, whether due to fraud or error.</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 xml:space="preserve">In preparing the consolidated and separate financial statements, management is responsible for assessing the Group’s and the Company’s ability to continue as a going concern, disclosing, as applicable, matters related to going concern </w:t>
      </w:r>
      <w:r w:rsidRPr="002032AF">
        <w:rPr>
          <w:rFonts w:ascii="Times New Roman" w:hAnsi="Times New Roman" w:cs="Times New Roman"/>
          <w:sz w:val="18"/>
          <w:szCs w:val="18"/>
        </w:rPr>
        <w:lastRenderedPageBreak/>
        <w:t>and using the going concern basis of accounting unless management either intends to liquidate the Group or to cease operations, or has no realistic alternative but to do so.</w:t>
      </w:r>
    </w:p>
    <w:p w:rsidR="00E063FB"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pacing w:val="-2"/>
          <w:sz w:val="18"/>
          <w:szCs w:val="18"/>
        </w:rPr>
        <w:t xml:space="preserve">Those charged with governance are responsible for overseeing the Group’s and the Company’s </w:t>
      </w:r>
      <w:r w:rsidRPr="002032AF">
        <w:rPr>
          <w:rFonts w:ascii="Times New Roman" w:hAnsi="Times New Roman" w:cs="Times New Roman"/>
          <w:sz w:val="18"/>
          <w:szCs w:val="18"/>
        </w:rPr>
        <w:t>financial reporting process.</w:t>
      </w:r>
    </w:p>
    <w:p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z w:val="18"/>
          <w:szCs w:val="18"/>
        </w:rPr>
        <w:t xml:space="preserve">Auditor’s Responsibilities for the Audit of </w:t>
      </w:r>
      <w:r w:rsidRPr="00F56F2F">
        <w:rPr>
          <w:rFonts w:ascii="Times New Roman" w:hAnsi="Times New Roman" w:cs="Times New Roman"/>
          <w:b/>
          <w:bCs/>
          <w:spacing w:val="-4"/>
          <w:sz w:val="18"/>
          <w:szCs w:val="18"/>
        </w:rPr>
        <w:t>the Consolidated</w:t>
      </w:r>
      <w:r w:rsidRPr="00F56F2F">
        <w:rPr>
          <w:rFonts w:ascii="Times New Roman" w:hAnsi="Times New Roman" w:cs="Times New Roman"/>
          <w:b/>
          <w:bCs/>
          <w:sz w:val="18"/>
          <w:szCs w:val="18"/>
        </w:rPr>
        <w:t xml:space="preserve"> and Separate Financial Statements</w:t>
      </w:r>
      <w:r w:rsidRPr="00F56F2F">
        <w:rPr>
          <w:rFonts w:ascii="Times New Roman" w:hAnsi="Times New Roman" w:cs="Times New Roman"/>
          <w:sz w:val="18"/>
          <w:szCs w:val="18"/>
        </w:rPr>
        <w:t xml:space="preserve"> </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rsidR="00E063FB" w:rsidRPr="002032AF" w:rsidRDefault="00E063FB" w:rsidP="00817DDD">
      <w:pPr>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 xml:space="preserve">As part of an audit in accordance with TSAs, I exercise professional judgment and maintain professional skepticism throughout the audit. I also: </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 xml:space="preserve">Obtain an understanding of internal control relevant to the audit in order to design audit procedures that are appropriate in the circumstances, but not for the purpose of expressing an opinion on the effectiveness of the Group’s and the Company’s internal control. </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appropriateness of accounting policies used and the reasonableness of accounting estimates and related disclosures made by management.</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Conclude on the appropriateness of management’s use of the going concern basis of accounting and, based on the audit evidence obtained, whether a material uncertainty exists related to events or conditions that may cast significant doubt on the Group’s and Company’s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overall presentation, structure and content of the consolidated and separate financial statements, including the disclosures, and whether the consolidated and separate</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financial statements represent the underlying transactions and events in a manner that achieves fair presentation.</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color w:val="000000"/>
          <w:sz w:val="18"/>
          <w:szCs w:val="18"/>
        </w:rPr>
      </w:pPr>
      <w:r w:rsidRPr="002032AF">
        <w:rPr>
          <w:rFonts w:ascii="Times New Roman" w:hAnsi="Times New Roman" w:cs="Times New Roman"/>
          <w:sz w:val="18"/>
          <w:szCs w:val="18"/>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rsidR="00E063FB" w:rsidRPr="002032AF" w:rsidRDefault="00E063FB" w:rsidP="00817DDD">
      <w:pPr>
        <w:spacing w:after="120" w:line="360" w:lineRule="auto"/>
        <w:ind w:left="851" w:right="-23"/>
        <w:jc w:val="both"/>
        <w:rPr>
          <w:rFonts w:ascii="Times New Roman" w:hAnsi="Times New Roman" w:cs="Times New Roman"/>
          <w:sz w:val="18"/>
          <w:szCs w:val="18"/>
        </w:rPr>
      </w:pPr>
      <w:r w:rsidRPr="002032AF">
        <w:rPr>
          <w:rFonts w:ascii="Times New Roman" w:hAnsi="Times New Roman" w:cs="Times New Roman"/>
          <w:sz w:val="18"/>
          <w:szCs w:val="18"/>
        </w:rPr>
        <w:t>I communicate with those charged with governance regarding, among other matters, the planned scope and timing of the audit and significant audit findings, including any significant deficiencies in internal control that I identify during my audit.</w:t>
      </w:r>
    </w:p>
    <w:p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pacing w:val="-4"/>
          <w:sz w:val="18"/>
          <w:szCs w:val="18"/>
        </w:rPr>
        <w:lastRenderedPageBreak/>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z w:val="18"/>
          <w:szCs w:val="18"/>
        </w:rPr>
        <w:t xml:space="preserve">From the matters communicated with those charged with governance, I determine those </w:t>
      </w:r>
      <w:r w:rsidRPr="002032AF">
        <w:rPr>
          <w:rFonts w:ascii="Times New Roman" w:hAnsi="Times New Roman" w:cs="Times New Roman"/>
          <w:spacing w:val="-4"/>
          <w:sz w:val="18"/>
          <w:szCs w:val="18"/>
        </w:rPr>
        <w:t>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9D6760" w:rsidRDefault="009D6760" w:rsidP="002032AF">
      <w:pPr>
        <w:spacing w:after="120" w:line="240" w:lineRule="auto"/>
        <w:ind w:right="-23"/>
        <w:jc w:val="both"/>
        <w:rPr>
          <w:rFonts w:ascii="Times New Roman" w:hAnsi="Times New Roman" w:cs="Times New Roman"/>
          <w:sz w:val="18"/>
          <w:szCs w:val="18"/>
        </w:rPr>
      </w:pPr>
    </w:p>
    <w:p w:rsidR="00817DDD" w:rsidRDefault="00817DDD" w:rsidP="002032AF">
      <w:pPr>
        <w:spacing w:after="120" w:line="240" w:lineRule="auto"/>
        <w:ind w:right="-23"/>
        <w:jc w:val="both"/>
        <w:rPr>
          <w:rFonts w:ascii="Times New Roman" w:hAnsi="Times New Roman" w:cs="Times New Roman"/>
          <w:sz w:val="18"/>
          <w:szCs w:val="18"/>
        </w:rPr>
      </w:pPr>
    </w:p>
    <w:p w:rsidR="00817DDD" w:rsidRDefault="00817DDD" w:rsidP="002032AF">
      <w:pPr>
        <w:spacing w:after="120" w:line="240" w:lineRule="auto"/>
        <w:ind w:right="-23"/>
        <w:jc w:val="both"/>
        <w:rPr>
          <w:rFonts w:ascii="Times New Roman" w:hAnsi="Times New Roman" w:cs="Times New Roman"/>
          <w:sz w:val="18"/>
          <w:szCs w:val="18"/>
        </w:rPr>
      </w:pPr>
    </w:p>
    <w:p w:rsidR="00817DDD" w:rsidRDefault="00817DDD" w:rsidP="002032AF">
      <w:pPr>
        <w:spacing w:after="120" w:line="240" w:lineRule="auto"/>
        <w:ind w:right="-23"/>
        <w:jc w:val="both"/>
        <w:rPr>
          <w:rFonts w:ascii="Times New Roman" w:hAnsi="Times New Roman" w:cs="Times New Roman"/>
          <w:sz w:val="18"/>
          <w:szCs w:val="18"/>
        </w:rPr>
      </w:pPr>
    </w:p>
    <w:p w:rsidR="00817DDD" w:rsidRDefault="00817DDD" w:rsidP="002032AF">
      <w:pPr>
        <w:spacing w:after="120" w:line="240" w:lineRule="auto"/>
        <w:ind w:right="-23"/>
        <w:jc w:val="both"/>
        <w:rPr>
          <w:rFonts w:ascii="Times New Roman" w:hAnsi="Times New Roman" w:cs="Times New Roman"/>
          <w:sz w:val="18"/>
          <w:szCs w:val="18"/>
        </w:rPr>
      </w:pPr>
    </w:p>
    <w:p w:rsidR="00B16F8D" w:rsidRDefault="00B16F8D" w:rsidP="002032AF">
      <w:pPr>
        <w:spacing w:after="120" w:line="240" w:lineRule="auto"/>
        <w:ind w:right="-23"/>
        <w:jc w:val="both"/>
        <w:rPr>
          <w:rFonts w:ascii="Times New Roman" w:hAnsi="Times New Roman" w:cs="Times New Roman"/>
          <w:sz w:val="18"/>
          <w:szCs w:val="18"/>
        </w:rPr>
      </w:pPr>
    </w:p>
    <w:p w:rsidR="00E063FB" w:rsidRPr="002032AF" w:rsidRDefault="00E063FB" w:rsidP="00F56F2F">
      <w:pPr>
        <w:spacing w:after="0" w:line="240" w:lineRule="auto"/>
        <w:ind w:right="-25" w:firstLine="4962"/>
        <w:rPr>
          <w:rFonts w:ascii="Times New Roman" w:hAnsi="Times New Roman" w:cs="Times New Roman"/>
          <w:sz w:val="18"/>
          <w:szCs w:val="18"/>
        </w:rPr>
      </w:pPr>
      <w:r w:rsidRPr="002032AF">
        <w:rPr>
          <w:rFonts w:ascii="Times New Roman" w:hAnsi="Times New Roman" w:cs="Times New Roman"/>
          <w:sz w:val="18"/>
          <w:szCs w:val="18"/>
        </w:rPr>
        <w:t>(</w:t>
      </w:r>
      <w:r w:rsidR="00F56F2F">
        <w:rPr>
          <w:rFonts w:ascii="Times New Roman" w:hAnsi="Times New Roman" w:cs="Times New Roman"/>
          <w:sz w:val="21"/>
          <w:szCs w:val="21"/>
        </w:rPr>
        <w:t xml:space="preserve"> </w:t>
      </w:r>
      <w:r w:rsidR="00F56F2F" w:rsidRPr="00DF749F">
        <w:rPr>
          <w:rFonts w:ascii="Times New Roman" w:hAnsi="Times New Roman" w:cs="Times New Roman"/>
          <w:sz w:val="21"/>
          <w:szCs w:val="21"/>
        </w:rPr>
        <w:t>Daranee Somkamnerd</w:t>
      </w:r>
      <w:r w:rsidR="00F56F2F">
        <w:rPr>
          <w:rFonts w:ascii="Times New Roman" w:hAnsi="Times New Roman" w:cs="Times New Roman"/>
          <w:sz w:val="21"/>
          <w:szCs w:val="21"/>
        </w:rPr>
        <w:t xml:space="preserve"> </w:t>
      </w:r>
      <w:r w:rsidRPr="002032AF">
        <w:rPr>
          <w:rFonts w:ascii="Times New Roman" w:hAnsi="Times New Roman" w:cs="Times New Roman"/>
          <w:sz w:val="18"/>
          <w:szCs w:val="18"/>
        </w:rPr>
        <w:t>)</w:t>
      </w:r>
    </w:p>
    <w:p w:rsidR="00E063FB" w:rsidRPr="002032AF" w:rsidRDefault="00E063FB" w:rsidP="00D36A53">
      <w:pPr>
        <w:spacing w:after="0" w:line="240" w:lineRule="auto"/>
        <w:ind w:right="-25" w:firstLine="4962"/>
        <w:rPr>
          <w:rFonts w:ascii="Times New Roman" w:hAnsi="Times New Roman" w:cs="Times New Roman"/>
          <w:sz w:val="18"/>
          <w:szCs w:val="18"/>
        </w:rPr>
      </w:pPr>
      <w:r w:rsidRPr="002032AF">
        <w:rPr>
          <w:rFonts w:ascii="Times New Roman" w:hAnsi="Times New Roman" w:cs="Times New Roman"/>
          <w:sz w:val="18"/>
          <w:szCs w:val="18"/>
        </w:rPr>
        <w:t>Certified Public Accountant</w:t>
      </w:r>
    </w:p>
    <w:p w:rsidR="00E063FB" w:rsidRPr="004D2547" w:rsidRDefault="00E063FB" w:rsidP="00D36A53">
      <w:pPr>
        <w:spacing w:after="0" w:line="240" w:lineRule="auto"/>
        <w:ind w:right="-25" w:firstLine="5245"/>
        <w:rPr>
          <w:rFonts w:ascii="Times New Roman" w:hAnsi="Times New Roman" w:cs="Times New Roman"/>
          <w:sz w:val="18"/>
          <w:szCs w:val="18"/>
        </w:rPr>
      </w:pPr>
      <w:r w:rsidRPr="004D2547">
        <w:rPr>
          <w:rFonts w:ascii="Times New Roman" w:hAnsi="Times New Roman" w:cs="Times New Roman"/>
          <w:sz w:val="18"/>
          <w:szCs w:val="18"/>
        </w:rPr>
        <w:t>Registration No</w:t>
      </w:r>
      <w:r w:rsidRPr="00F56F2F">
        <w:rPr>
          <w:rFonts w:ascii="Times New Roman" w:hAnsi="Times New Roman" w:cs="Times New Roman"/>
          <w:sz w:val="18"/>
          <w:szCs w:val="18"/>
        </w:rPr>
        <w:t xml:space="preserve">. </w:t>
      </w:r>
      <w:r w:rsidR="00F56F2F" w:rsidRPr="00F56F2F">
        <w:rPr>
          <w:rFonts w:ascii="Times New Roman" w:hAnsi="Times New Roman" w:cs="Times New Roman"/>
          <w:sz w:val="18"/>
          <w:szCs w:val="18"/>
        </w:rPr>
        <w:t>5007</w:t>
      </w:r>
    </w:p>
    <w:p w:rsidR="00E063FB" w:rsidRDefault="00E063FB" w:rsidP="00D36A53">
      <w:pPr>
        <w:tabs>
          <w:tab w:val="center" w:pos="7088"/>
        </w:tabs>
        <w:spacing w:after="0"/>
        <w:ind w:right="-23"/>
        <w:rPr>
          <w:rFonts w:ascii="Times New Roman" w:hAnsi="Times New Roman" w:cs="Times New Roman"/>
          <w:sz w:val="18"/>
          <w:szCs w:val="18"/>
        </w:rPr>
      </w:pPr>
    </w:p>
    <w:p w:rsidR="00817DDD" w:rsidRDefault="00817DDD" w:rsidP="00D36A53">
      <w:pPr>
        <w:tabs>
          <w:tab w:val="center" w:pos="7088"/>
        </w:tabs>
        <w:spacing w:after="0"/>
        <w:ind w:right="-23"/>
        <w:rPr>
          <w:rFonts w:ascii="Times New Roman" w:hAnsi="Times New Roman" w:cs="Times New Roman"/>
          <w:sz w:val="18"/>
          <w:szCs w:val="18"/>
        </w:rPr>
      </w:pPr>
    </w:p>
    <w:p w:rsidR="00817DDD" w:rsidRDefault="00817DDD" w:rsidP="00D36A53">
      <w:pPr>
        <w:tabs>
          <w:tab w:val="center" w:pos="7088"/>
        </w:tabs>
        <w:spacing w:after="0"/>
        <w:ind w:right="-23"/>
        <w:rPr>
          <w:rFonts w:ascii="Times New Roman" w:hAnsi="Times New Roman" w:cs="Times New Roman"/>
          <w:sz w:val="18"/>
          <w:szCs w:val="18"/>
        </w:rPr>
      </w:pPr>
    </w:p>
    <w:p w:rsidR="00817DDD" w:rsidRDefault="00817DDD" w:rsidP="00D36A53">
      <w:pPr>
        <w:tabs>
          <w:tab w:val="center" w:pos="7088"/>
        </w:tabs>
        <w:spacing w:after="0"/>
        <w:ind w:right="-23"/>
        <w:rPr>
          <w:rFonts w:ascii="Times New Roman" w:hAnsi="Times New Roman" w:cs="Times New Roman"/>
          <w:sz w:val="18"/>
          <w:szCs w:val="18"/>
        </w:rPr>
      </w:pPr>
    </w:p>
    <w:p w:rsidR="00817DDD" w:rsidRPr="004D2547" w:rsidRDefault="00817DDD" w:rsidP="00D36A53">
      <w:pPr>
        <w:tabs>
          <w:tab w:val="center" w:pos="7088"/>
        </w:tabs>
        <w:spacing w:after="0"/>
        <w:ind w:right="-23"/>
        <w:rPr>
          <w:rFonts w:ascii="Times New Roman" w:hAnsi="Times New Roman" w:cs="Times New Roman"/>
          <w:sz w:val="18"/>
          <w:szCs w:val="18"/>
        </w:rPr>
      </w:pPr>
    </w:p>
    <w:p w:rsidR="004D2547" w:rsidRPr="004D2547" w:rsidRDefault="004D2547" w:rsidP="00D36A53">
      <w:pPr>
        <w:tabs>
          <w:tab w:val="center" w:pos="7088"/>
        </w:tabs>
        <w:spacing w:after="0"/>
        <w:ind w:right="-23"/>
        <w:rPr>
          <w:rFonts w:ascii="Times New Roman" w:hAnsi="Times New Roman" w:cs="Times New Roman"/>
          <w:sz w:val="18"/>
          <w:szCs w:val="18"/>
        </w:rPr>
      </w:pP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 xml:space="preserve">A.M.T. &amp; ASSOCIATES  </w:t>
      </w: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Bangkok, Thailand</w:t>
      </w: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 xml:space="preserve">February </w:t>
      </w:r>
      <w:r w:rsidR="00F56F2F">
        <w:rPr>
          <w:rFonts w:ascii="Times New Roman" w:hAnsi="Times New Roman" w:cs="Times New Roman"/>
          <w:sz w:val="18"/>
          <w:szCs w:val="18"/>
        </w:rPr>
        <w:t>2</w:t>
      </w:r>
      <w:r w:rsidR="007E710F">
        <w:rPr>
          <w:rFonts w:ascii="Times New Roman" w:hAnsi="Times New Roman" w:cs="Times New Roman"/>
          <w:sz w:val="18"/>
          <w:szCs w:val="18"/>
        </w:rPr>
        <w:t>1</w:t>
      </w:r>
      <w:r w:rsidRPr="002032AF">
        <w:rPr>
          <w:rFonts w:ascii="Times New Roman" w:hAnsi="Times New Roman" w:cs="Times New Roman"/>
          <w:sz w:val="18"/>
          <w:szCs w:val="18"/>
        </w:rPr>
        <w:t>, 201</w:t>
      </w:r>
      <w:r w:rsidR="00F56F2F">
        <w:rPr>
          <w:rFonts w:ascii="Times New Roman" w:hAnsi="Times New Roman" w:cs="Times New Roman"/>
          <w:sz w:val="18"/>
          <w:szCs w:val="18"/>
        </w:rPr>
        <w:t>9</w:t>
      </w:r>
    </w:p>
    <w:sectPr w:rsidR="00E063FB" w:rsidRPr="002032AF" w:rsidSect="002032AF">
      <w:headerReference w:type="default" r:id="rId8"/>
      <w:footerReference w:type="default" r:id="rId9"/>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7C8" w:rsidRDefault="004847C8" w:rsidP="005034AA">
      <w:pPr>
        <w:spacing w:after="0" w:line="240" w:lineRule="auto"/>
      </w:pPr>
      <w:r>
        <w:separator/>
      </w:r>
    </w:p>
  </w:endnote>
  <w:endnote w:type="continuationSeparator" w:id="0">
    <w:p w:rsidR="004847C8" w:rsidRDefault="004847C8" w:rsidP="0050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FB" w:rsidRPr="004D2547" w:rsidRDefault="00E063FB" w:rsidP="00F024D3">
    <w:pPr>
      <w:pStyle w:val="Footer"/>
      <w:jc w:val="center"/>
      <w:rPr>
        <w:rFonts w:ascii="Times New Roman" w:hAnsi="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7C8" w:rsidRDefault="004847C8" w:rsidP="005034AA">
      <w:pPr>
        <w:spacing w:after="0" w:line="240" w:lineRule="auto"/>
      </w:pPr>
      <w:r>
        <w:separator/>
      </w:r>
    </w:p>
  </w:footnote>
  <w:footnote w:type="continuationSeparator" w:id="0">
    <w:p w:rsidR="004847C8" w:rsidRDefault="004847C8" w:rsidP="005034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FB" w:rsidRPr="00334944" w:rsidRDefault="00E063FB" w:rsidP="00F024D3">
    <w:pPr>
      <w:pStyle w:val="Header"/>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32E9"/>
    <w:multiLevelType w:val="hybridMultilevel"/>
    <w:tmpl w:val="B69E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B651AE7"/>
    <w:multiLevelType w:val="hybridMultilevel"/>
    <w:tmpl w:val="2E70C754"/>
    <w:lvl w:ilvl="0" w:tplc="19485F30">
      <w:start w:val="1"/>
      <w:numFmt w:val="thaiLetters"/>
      <w:lvlText w:val="%1."/>
      <w:lvlJc w:val="left"/>
      <w:pPr>
        <w:tabs>
          <w:tab w:val="num" w:pos="720"/>
        </w:tabs>
        <w:ind w:left="720" w:hanging="360"/>
      </w:pPr>
      <w:rPr>
        <w:rFonts w:ascii="Times New Roman" w:hAnsi="Times New Roman"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4155265B"/>
    <w:multiLevelType w:val="hybridMultilevel"/>
    <w:tmpl w:val="6EA8B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4967BBD"/>
    <w:multiLevelType w:val="hybridMultilevel"/>
    <w:tmpl w:val="B94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67362CA"/>
    <w:multiLevelType w:val="hybridMultilevel"/>
    <w:tmpl w:val="3CC00842"/>
    <w:lvl w:ilvl="0" w:tplc="BA223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2BE0A4F"/>
    <w:multiLevelType w:val="hybridMultilevel"/>
    <w:tmpl w:val="87AE8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36A4EA9"/>
    <w:multiLevelType w:val="hybridMultilevel"/>
    <w:tmpl w:val="E578F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5B9E10A3"/>
    <w:multiLevelType w:val="hybridMultilevel"/>
    <w:tmpl w:val="F314C6C0"/>
    <w:lvl w:ilvl="0" w:tplc="3FFCFEF0">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3"/>
  </w:num>
  <w:num w:numId="5">
    <w:abstractNumId w:val="0"/>
  </w:num>
  <w:num w:numId="6">
    <w:abstractNumId w:val="2"/>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4AA"/>
    <w:rsid w:val="00000E53"/>
    <w:rsid w:val="00023A8B"/>
    <w:rsid w:val="000907A9"/>
    <w:rsid w:val="000F6819"/>
    <w:rsid w:val="00116243"/>
    <w:rsid w:val="001C5C4E"/>
    <w:rsid w:val="002032AF"/>
    <w:rsid w:val="00207FCE"/>
    <w:rsid w:val="00263BC7"/>
    <w:rsid w:val="002A2CC1"/>
    <w:rsid w:val="002D4A65"/>
    <w:rsid w:val="00325899"/>
    <w:rsid w:val="00334944"/>
    <w:rsid w:val="0035063E"/>
    <w:rsid w:val="003E053F"/>
    <w:rsid w:val="00401BCD"/>
    <w:rsid w:val="00410EC5"/>
    <w:rsid w:val="004161F2"/>
    <w:rsid w:val="00443304"/>
    <w:rsid w:val="004847C8"/>
    <w:rsid w:val="004D2547"/>
    <w:rsid w:val="005034AA"/>
    <w:rsid w:val="005342E9"/>
    <w:rsid w:val="006110F7"/>
    <w:rsid w:val="006171DD"/>
    <w:rsid w:val="00642DCF"/>
    <w:rsid w:val="0067756E"/>
    <w:rsid w:val="006817BB"/>
    <w:rsid w:val="006C4DBC"/>
    <w:rsid w:val="007535A8"/>
    <w:rsid w:val="00755AA6"/>
    <w:rsid w:val="007B782E"/>
    <w:rsid w:val="007C4F53"/>
    <w:rsid w:val="007E710F"/>
    <w:rsid w:val="007F4FE9"/>
    <w:rsid w:val="00817DDD"/>
    <w:rsid w:val="00853A5E"/>
    <w:rsid w:val="0087206B"/>
    <w:rsid w:val="008C4333"/>
    <w:rsid w:val="008D0470"/>
    <w:rsid w:val="008E29E7"/>
    <w:rsid w:val="00904205"/>
    <w:rsid w:val="009124A5"/>
    <w:rsid w:val="00917B25"/>
    <w:rsid w:val="00967CF2"/>
    <w:rsid w:val="00972DF1"/>
    <w:rsid w:val="00997B85"/>
    <w:rsid w:val="009B1A8E"/>
    <w:rsid w:val="009D6760"/>
    <w:rsid w:val="009E0455"/>
    <w:rsid w:val="009F713D"/>
    <w:rsid w:val="00AF404D"/>
    <w:rsid w:val="00AF5BA6"/>
    <w:rsid w:val="00B00577"/>
    <w:rsid w:val="00B1298F"/>
    <w:rsid w:val="00B16F8D"/>
    <w:rsid w:val="00B179DC"/>
    <w:rsid w:val="00B52ACC"/>
    <w:rsid w:val="00B87C0D"/>
    <w:rsid w:val="00B94152"/>
    <w:rsid w:val="00BB1384"/>
    <w:rsid w:val="00BB1894"/>
    <w:rsid w:val="00BB79CF"/>
    <w:rsid w:val="00BE4940"/>
    <w:rsid w:val="00BF5285"/>
    <w:rsid w:val="00BF71B0"/>
    <w:rsid w:val="00C02415"/>
    <w:rsid w:val="00C073DA"/>
    <w:rsid w:val="00C12979"/>
    <w:rsid w:val="00C269C2"/>
    <w:rsid w:val="00C52659"/>
    <w:rsid w:val="00C64F1E"/>
    <w:rsid w:val="00CB7BD7"/>
    <w:rsid w:val="00CE0FD1"/>
    <w:rsid w:val="00CE472C"/>
    <w:rsid w:val="00D36A53"/>
    <w:rsid w:val="00D46D9B"/>
    <w:rsid w:val="00D87BA7"/>
    <w:rsid w:val="00E063FB"/>
    <w:rsid w:val="00E13649"/>
    <w:rsid w:val="00E6461B"/>
    <w:rsid w:val="00EC2A69"/>
    <w:rsid w:val="00EE6A9C"/>
    <w:rsid w:val="00EF5561"/>
    <w:rsid w:val="00F024D3"/>
    <w:rsid w:val="00F411DA"/>
    <w:rsid w:val="00F56F2F"/>
    <w:rsid w:val="00F61FC3"/>
    <w:rsid w:val="00F738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1711</Words>
  <Characters>9622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
  <LinksUpToDate>false</LinksUpToDate>
  <CharactersWithSpaces>11311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creator>USER</dc:creator>
  <cp:lastModifiedBy>Supanee Phongsuparbchon</cp:lastModifiedBy>
  <cp:revision>2</cp:revision>
  <cp:lastPrinted>2018-02-16T06:53:00Z</cp:lastPrinted>
  <dcterms:created xsi:type="dcterms:W3CDTF">2019-02-21T14:22:00Z</dcterms:created>
  <dcterms:modified xsi:type="dcterms:W3CDTF">2019-02-21T14:22:00Z</dcterms:modified>
</cp:coreProperties>
</file>