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>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0BD52364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3003EB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3003EB">
        <w:rPr>
          <w:rFonts w:ascii="Angsana New" w:hAnsi="Angsana New" w:hint="cs"/>
          <w:b/>
          <w:bCs/>
          <w:sz w:val="36"/>
          <w:szCs w:val="36"/>
          <w:cs/>
        </w:rPr>
        <w:t>กันยายน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922628">
        <w:rPr>
          <w:rFonts w:ascii="Angsana New" w:hAnsi="Angsana New" w:hint="cs"/>
          <w:b/>
          <w:bCs/>
          <w:sz w:val="36"/>
          <w:szCs w:val="36"/>
          <w:cs/>
        </w:rPr>
        <w:t>7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44DFCA98" w14:textId="630397EB" w:rsidR="00CB78F0" w:rsidRPr="00922628" w:rsidRDefault="0082266C" w:rsidP="00922628">
      <w:pPr>
        <w:pStyle w:val="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lastRenderedPageBreak/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</w:p>
    <w:p w14:paraId="44DA8FCF" w14:textId="4170D86A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601482">
        <w:rPr>
          <w:rFonts w:ascii="Angsana New" w:hAnsi="Angsana New"/>
          <w:sz w:val="28"/>
          <w:szCs w:val="28"/>
        </w:rPr>
        <w:t>30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</w:t>
      </w:r>
      <w:r w:rsidR="000628BD">
        <w:rPr>
          <w:rFonts w:ascii="Angsana New" w:hAnsi="Angsana New" w:hint="cs"/>
          <w:sz w:val="28"/>
          <w:szCs w:val="28"/>
          <w:cs/>
        </w:rPr>
        <w:t>กันยายน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</w:t>
      </w:r>
      <w:r w:rsidR="00806591">
        <w:rPr>
          <w:rFonts w:ascii="Angsana New" w:hAnsi="Angsana New" w:hint="cs"/>
          <w:sz w:val="28"/>
          <w:szCs w:val="28"/>
          <w:cs/>
        </w:rPr>
        <w:t>ด</w:t>
      </w:r>
      <w:r w:rsidR="000628BD">
        <w:rPr>
          <w:rFonts w:ascii="Angsana New" w:hAnsi="Angsana New" w:hint="cs"/>
          <w:sz w:val="28"/>
          <w:szCs w:val="28"/>
          <w:cs/>
        </w:rPr>
        <w:t>เก้า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0628BD">
        <w:rPr>
          <w:rFonts w:ascii="Angsana New" w:hAnsi="Angsana New" w:hint="cs"/>
          <w:sz w:val="28"/>
          <w:szCs w:val="28"/>
          <w:cs/>
        </w:rPr>
        <w:t>กันยายน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0628BD">
        <w:rPr>
          <w:rFonts w:ascii="Angsana New" w:hAnsi="Angsana New" w:hint="cs"/>
          <w:sz w:val="28"/>
          <w:szCs w:val="28"/>
          <w:cs/>
        </w:rPr>
        <w:t>เก้า</w:t>
      </w:r>
      <w:r w:rsidR="0044504F" w:rsidRPr="003C3F4A">
        <w:rPr>
          <w:rFonts w:ascii="Angsana New" w:hAnsi="Angsana New" w:hint="cs"/>
          <w:sz w:val="28"/>
          <w:szCs w:val="28"/>
          <w:cs/>
        </w:rPr>
        <w:t>เดือน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สิ้นสุด 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0628BD">
        <w:rPr>
          <w:rFonts w:ascii="Angsana New" w:hAnsi="Angsana New" w:hint="cs"/>
          <w:sz w:val="28"/>
          <w:szCs w:val="28"/>
          <w:cs/>
        </w:rPr>
        <w:t>กันยายน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</w:t>
      </w:r>
      <w:r w:rsidR="00922628">
        <w:rPr>
          <w:rFonts w:ascii="Angsana New" w:hAnsi="Angsana New"/>
          <w:sz w:val="28"/>
          <w:szCs w:val="28"/>
        </w:rPr>
        <w:t>7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3C3F4A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3C3F4A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51BC0E1B" w14:textId="77777777" w:rsidR="00AB4C7D" w:rsidRPr="00675A84" w:rsidRDefault="00AB4C7D" w:rsidP="00AB4C7D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36761161" w:rsidR="0082266C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3859168E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40B8993A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622264D2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1BFB085A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1D2DD0D9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1C80CED2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37D4B695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55FA8974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20773E1E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49FD6093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6EA45A6A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165C0226" w14:textId="77777777" w:rsidR="008355F1" w:rsidRDefault="008355F1" w:rsidP="008355F1">
      <w:pPr>
        <w:spacing w:after="120"/>
        <w:ind w:right="238"/>
        <w:jc w:val="thaiDistribute"/>
        <w:rPr>
          <w:rFonts w:ascii="Angsana New" w:hAnsi="Angsana New"/>
          <w:sz w:val="28"/>
          <w:szCs w:val="28"/>
        </w:rPr>
      </w:pPr>
    </w:p>
    <w:p w14:paraId="61F94B29" w14:textId="77777777" w:rsidR="00922628" w:rsidRPr="00FC2E02" w:rsidRDefault="00922628" w:rsidP="00922628">
      <w:pPr>
        <w:numPr>
          <w:ilvl w:val="0"/>
          <w:numId w:val="6"/>
        </w:numPr>
        <w:spacing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E02">
        <w:rPr>
          <w:rFonts w:ascii="Angsana New" w:hAnsi="Angsana New"/>
          <w:b/>
          <w:bCs/>
          <w:sz w:val="28"/>
          <w:szCs w:val="28"/>
          <w:cs/>
          <w:lang w:val="en-GB"/>
        </w:rPr>
        <w:lastRenderedPageBreak/>
        <w:t>ข้อมูล</w:t>
      </w:r>
      <w:r w:rsidRPr="00FC2E02">
        <w:rPr>
          <w:rFonts w:ascii="Angsana New" w:hAnsi="Angsana New"/>
          <w:b/>
          <w:bCs/>
          <w:sz w:val="28"/>
          <w:szCs w:val="28"/>
          <w:cs/>
        </w:rPr>
        <w:t>และเหตุการณ์ที่เน้น</w:t>
      </w:r>
    </w:p>
    <w:p w14:paraId="201CC555" w14:textId="3D5477A9" w:rsidR="008355F1" w:rsidRDefault="008355F1" w:rsidP="008355F1">
      <w:pPr>
        <w:pStyle w:val="af1"/>
        <w:ind w:left="654" w:right="238" w:hanging="370"/>
        <w:jc w:val="thaiDistribute"/>
        <w:rPr>
          <w:rFonts w:ascii="Angsana New" w:hAnsi="Angsana New"/>
          <w:spacing w:val="-6"/>
          <w:sz w:val="28"/>
          <w:szCs w:val="28"/>
        </w:rPr>
      </w:pPr>
      <w:bookmarkStart w:id="0" w:name="_Hlk166562565"/>
      <w:r w:rsidRPr="008355F1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(</w:t>
      </w:r>
      <w:r w:rsidR="00AB4C7D">
        <w:rPr>
          <w:rFonts w:ascii="Angsana New" w:eastAsia="Calibri" w:hAnsi="Angsana New"/>
          <w:color w:val="000000"/>
          <w:spacing w:val="-2"/>
          <w:sz w:val="28"/>
          <w:szCs w:val="28"/>
        </w:rPr>
        <w:t>4</w:t>
      </w:r>
      <w:r w:rsidRPr="008355F1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.1)</w:t>
      </w:r>
      <w:r w:rsidRPr="008355F1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ab/>
        <w:t>ตามที่กล่าวไว้ในหมายเหตุประกอบงบการเงิน</w:t>
      </w:r>
      <w:r w:rsidRPr="008355F1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Pr="008355F1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Pr="008355F1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8355F1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30</w:t>
      </w:r>
      <w:r w:rsidRPr="008355F1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8355F1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ว่า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Pr="008355F1">
        <w:rPr>
          <w:rFonts w:ascii="Angsana New" w:hAnsi="Angsana New"/>
          <w:spacing w:val="-6"/>
          <w:sz w:val="28"/>
          <w:szCs w:val="28"/>
        </w:rPr>
        <w:t>15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 ธันวาคม </w:t>
      </w:r>
      <w:r w:rsidRPr="008355F1">
        <w:rPr>
          <w:rFonts w:ascii="Angsana New" w:hAnsi="Angsana New"/>
          <w:spacing w:val="-6"/>
          <w:sz w:val="28"/>
          <w:szCs w:val="28"/>
        </w:rPr>
        <w:t>2566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 สำนักงานคณะกรรมการกำกับหลักทรัพย์และตลาดหลักทรัพย์ ได้ประกาศแนวปฏิบัติ ที่ นป. 5/2566 เรื่องแนวทางการพิจารณาการลงทุนของบริษัทที่มีลักษณะเป็นการประกอบธุรกิจบริหารจัดการเงินลงทุน (</w:t>
      </w:r>
      <w:r w:rsidRPr="008355F1">
        <w:rPr>
          <w:rFonts w:ascii="Angsana New" w:hAnsi="Angsana New"/>
          <w:spacing w:val="-6"/>
          <w:sz w:val="28"/>
          <w:szCs w:val="28"/>
        </w:rPr>
        <w:t>Investment Company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) โดยให้มีผลบังคับตั้งแต่วันที่ </w:t>
      </w:r>
      <w:r w:rsidRPr="008355F1">
        <w:rPr>
          <w:rFonts w:ascii="Angsana New" w:hAnsi="Angsana New"/>
          <w:spacing w:val="-6"/>
          <w:sz w:val="28"/>
          <w:szCs w:val="28"/>
        </w:rPr>
        <w:t>1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 มกราคม </w:t>
      </w:r>
      <w:r w:rsidRPr="008355F1">
        <w:rPr>
          <w:rFonts w:ascii="Angsana New" w:hAnsi="Angsana New"/>
          <w:spacing w:val="-6"/>
          <w:sz w:val="28"/>
          <w:szCs w:val="28"/>
        </w:rPr>
        <w:t>2567</w:t>
      </w:r>
      <w:r w:rsidRPr="008355F1">
        <w:rPr>
          <w:rFonts w:ascii="Angsana New" w:hAnsi="Angsana New" w:hint="cs"/>
          <w:spacing w:val="-6"/>
          <w:sz w:val="28"/>
          <w:szCs w:val="28"/>
          <w:cs/>
        </w:rPr>
        <w:t xml:space="preserve"> บริษัทฯ ได้พิจารณาการลงทุนและการเปิดเผยตามแนวปฏิบัติดังกล่าวแล้ว</w:t>
      </w:r>
      <w:bookmarkEnd w:id="0"/>
    </w:p>
    <w:p w14:paraId="56949173" w14:textId="77777777" w:rsidR="00A93CA9" w:rsidRPr="008355F1" w:rsidRDefault="00A93CA9" w:rsidP="008355F1">
      <w:pPr>
        <w:pStyle w:val="af1"/>
        <w:ind w:left="654" w:right="238" w:hanging="370"/>
        <w:jc w:val="thaiDistribute"/>
        <w:rPr>
          <w:rFonts w:ascii="Angsana New" w:hAnsi="Angsana New"/>
          <w:sz w:val="28"/>
          <w:szCs w:val="28"/>
        </w:rPr>
      </w:pPr>
    </w:p>
    <w:p w14:paraId="71060359" w14:textId="5C6A28C2" w:rsidR="00AB4C7D" w:rsidRPr="00AB4C7D" w:rsidRDefault="00AB4C7D" w:rsidP="00100C56">
      <w:pPr>
        <w:pStyle w:val="af1"/>
        <w:ind w:left="654" w:right="238" w:hanging="370"/>
        <w:jc w:val="thaiDistribute"/>
        <w:rPr>
          <w:rFonts w:ascii="Angsana New" w:eastAsia="Calibri" w:hAnsi="Angsana New"/>
          <w:color w:val="000000"/>
          <w:spacing w:val="-2"/>
          <w:sz w:val="28"/>
          <w:szCs w:val="28"/>
          <w:cs/>
        </w:rPr>
      </w:pPr>
      <w:r w:rsidRPr="00AB4C7D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(4.2) </w:t>
      </w:r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ณ วันที่ 30 กันยายน 2567 บริษัทฯ ได้ลงนามในสัญญาซื้อขายเงินลงทุนในหุ้นสามัญของ บริษัท เพอร์เพ</w:t>
      </w:r>
      <w:proofErr w:type="spellStart"/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ิล</w:t>
      </w:r>
      <w:proofErr w:type="spellEnd"/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 xml:space="preserve"> เวนเจอร</w:t>
      </w:r>
      <w:proofErr w:type="spellStart"/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์ส</w:t>
      </w:r>
      <w:proofErr w:type="spellEnd"/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 xml:space="preserve"> จำกัด (</w:t>
      </w:r>
      <w:r w:rsidR="00100C56" w:rsidRPr="00AB4C7D">
        <w:rPr>
          <w:rFonts w:ascii="Angsana New" w:eastAsia="Calibri" w:hAnsi="Angsana New"/>
          <w:color w:val="000000"/>
          <w:spacing w:val="-2"/>
          <w:sz w:val="28"/>
          <w:szCs w:val="28"/>
        </w:rPr>
        <w:t>PPV</w:t>
      </w:r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 xml:space="preserve">) ในสัดส่วนร้อยละ 30 ของทุนชำระแล้ว </w:t>
      </w:r>
      <w:r w:rsidR="00100C56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โดยมีรายละเอียด</w:t>
      </w:r>
      <w:r w:rsidR="00100C56"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 xml:space="preserve"> </w:t>
      </w:r>
      <w:r w:rsidRPr="00AB4C7D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ตามที่กล่าวไว้ในหมายเหตุประกอบงบการเงิน</w:t>
      </w:r>
      <w:r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>ระหว่างกาล</w:t>
      </w:r>
      <w:r w:rsidRPr="00AB4C7D">
        <w:rPr>
          <w:rFonts w:ascii="Angsana New" w:eastAsia="Calibri" w:hAnsi="Angsana New"/>
          <w:color w:val="000000"/>
          <w:spacing w:val="-2"/>
          <w:sz w:val="28"/>
          <w:szCs w:val="28"/>
          <w:cs/>
        </w:rPr>
        <w:t>ข้อ</w:t>
      </w:r>
      <w:r w:rsidRPr="00AB4C7D">
        <w:rPr>
          <w:rFonts w:ascii="Angsana New" w:eastAsia="Calibri" w:hAnsi="Angsana New"/>
          <w:color w:val="000000"/>
          <w:spacing w:val="-2"/>
          <w:sz w:val="28"/>
          <w:szCs w:val="28"/>
        </w:rPr>
        <w:t xml:space="preserve"> </w:t>
      </w:r>
      <w:r w:rsidRPr="00AB4C7D">
        <w:rPr>
          <w:rFonts w:ascii="Angsana New" w:eastAsia="Calibri" w:hAnsi="Angsana New" w:hint="cs"/>
          <w:color w:val="000000"/>
          <w:spacing w:val="-2"/>
          <w:sz w:val="28"/>
          <w:szCs w:val="28"/>
          <w:cs/>
        </w:rPr>
        <w:t xml:space="preserve">10 </w:t>
      </w:r>
    </w:p>
    <w:p w14:paraId="7DF44024" w14:textId="05862F1B" w:rsidR="00AB4C7D" w:rsidRDefault="00AB4C7D" w:rsidP="008355F1">
      <w:pPr>
        <w:pStyle w:val="af1"/>
        <w:shd w:val="clear" w:color="auto" w:fill="FFFFFF"/>
        <w:overflowPunct/>
        <w:autoSpaceDE/>
        <w:autoSpaceDN/>
        <w:adjustRightInd/>
        <w:ind w:left="654" w:right="238" w:hanging="37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78BF67AD" w14:textId="77777777" w:rsidR="00922628" w:rsidRPr="00AA684F" w:rsidRDefault="00922628" w:rsidP="00CB78F0">
      <w:pPr>
        <w:spacing w:after="120"/>
        <w:ind w:left="425" w:right="238"/>
        <w:jc w:val="thaiDistribute"/>
        <w:rPr>
          <w:rFonts w:ascii="Angsana New" w:hAnsi="Angsana New"/>
          <w:strike/>
          <w:sz w:val="28"/>
          <w:szCs w:val="28"/>
        </w:rPr>
      </w:pPr>
    </w:p>
    <w:p w14:paraId="254B0107" w14:textId="77777777" w:rsidR="008355F1" w:rsidRPr="00675A84" w:rsidRDefault="008355F1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6C28D831" w14:textId="50A8D281" w:rsidR="00651729" w:rsidRDefault="00C448E4" w:rsidP="00922628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12899061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3003EB">
        <w:rPr>
          <w:rFonts w:ascii="Angsana New" w:hAnsi="Angsana New"/>
          <w:sz w:val="28"/>
          <w:szCs w:val="28"/>
        </w:rPr>
        <w:t>8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3003EB">
        <w:rPr>
          <w:rFonts w:ascii="Angsana New" w:hAnsi="Angsana New" w:hint="cs"/>
          <w:sz w:val="28"/>
          <w:szCs w:val="28"/>
          <w:cs/>
        </w:rPr>
        <w:t>พฤศจิกายน</w:t>
      </w:r>
      <w:r w:rsidR="00601482">
        <w:rPr>
          <w:rFonts w:ascii="Angsana New" w:hAnsi="Angsana New"/>
          <w:sz w:val="28"/>
          <w:szCs w:val="28"/>
        </w:rPr>
        <w:t xml:space="preserve"> 256</w:t>
      </w:r>
      <w:r w:rsidR="00922628">
        <w:rPr>
          <w:rFonts w:ascii="Angsana New" w:hAnsi="Angsana New" w:hint="cs"/>
          <w:sz w:val="28"/>
          <w:szCs w:val="28"/>
          <w:cs/>
        </w:rPr>
        <w:t>7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008B8" w14:textId="77777777" w:rsidR="003B24CE" w:rsidRDefault="003B24CE">
      <w:r>
        <w:separator/>
      </w:r>
    </w:p>
  </w:endnote>
  <w:endnote w:type="continuationSeparator" w:id="0">
    <w:p w14:paraId="056466D1" w14:textId="77777777" w:rsidR="003B24CE" w:rsidRDefault="003B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E0BE27" w14:textId="77777777" w:rsidR="00825846" w:rsidRDefault="008258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8462" w14:textId="77777777" w:rsidR="003B24CE" w:rsidRDefault="003B24CE">
      <w:r>
        <w:separator/>
      </w:r>
    </w:p>
  </w:footnote>
  <w:footnote w:type="continuationSeparator" w:id="0">
    <w:p w14:paraId="068ECE74" w14:textId="77777777" w:rsidR="003B24CE" w:rsidRDefault="003B2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606421064">
    <w:abstractNumId w:val="0"/>
  </w:num>
  <w:num w:numId="2" w16cid:durableId="179004660">
    <w:abstractNumId w:val="1"/>
  </w:num>
  <w:num w:numId="3" w16cid:durableId="795835522">
    <w:abstractNumId w:val="7"/>
  </w:num>
  <w:num w:numId="4" w16cid:durableId="900946076">
    <w:abstractNumId w:val="4"/>
  </w:num>
  <w:num w:numId="5" w16cid:durableId="1791585843">
    <w:abstractNumId w:val="6"/>
  </w:num>
  <w:num w:numId="6" w16cid:durableId="857111928">
    <w:abstractNumId w:val="5"/>
  </w:num>
  <w:num w:numId="7" w16cid:durableId="711148841">
    <w:abstractNumId w:val="2"/>
  </w:num>
  <w:num w:numId="8" w16cid:durableId="1482429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5A"/>
    <w:rsid w:val="000007A3"/>
    <w:rsid w:val="000055A8"/>
    <w:rsid w:val="000166BF"/>
    <w:rsid w:val="00031880"/>
    <w:rsid w:val="00040291"/>
    <w:rsid w:val="0006129A"/>
    <w:rsid w:val="000628BD"/>
    <w:rsid w:val="00066DBE"/>
    <w:rsid w:val="000764CF"/>
    <w:rsid w:val="0009015E"/>
    <w:rsid w:val="000924AB"/>
    <w:rsid w:val="00092773"/>
    <w:rsid w:val="00094CE4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2910"/>
    <w:rsid w:val="000F6045"/>
    <w:rsid w:val="00100C56"/>
    <w:rsid w:val="00105A5F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00E2"/>
    <w:rsid w:val="00184E5A"/>
    <w:rsid w:val="00186BBB"/>
    <w:rsid w:val="00196257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26A02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86146"/>
    <w:rsid w:val="002904D0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03EB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11BB"/>
    <w:rsid w:val="00383B82"/>
    <w:rsid w:val="00396F0F"/>
    <w:rsid w:val="003A2C6C"/>
    <w:rsid w:val="003A5ABA"/>
    <w:rsid w:val="003A6534"/>
    <w:rsid w:val="003B24CE"/>
    <w:rsid w:val="003B3D28"/>
    <w:rsid w:val="003B4B8F"/>
    <w:rsid w:val="003B70C5"/>
    <w:rsid w:val="003C29EF"/>
    <w:rsid w:val="003C2C36"/>
    <w:rsid w:val="003C3F4A"/>
    <w:rsid w:val="003C571F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3926"/>
    <w:rsid w:val="003F5522"/>
    <w:rsid w:val="00402322"/>
    <w:rsid w:val="00402940"/>
    <w:rsid w:val="004031CF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079AB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185"/>
    <w:rsid w:val="00597830"/>
    <w:rsid w:val="005A19BA"/>
    <w:rsid w:val="005A35FB"/>
    <w:rsid w:val="005B5921"/>
    <w:rsid w:val="005C2148"/>
    <w:rsid w:val="005C34EE"/>
    <w:rsid w:val="005C3842"/>
    <w:rsid w:val="005C3BA3"/>
    <w:rsid w:val="005C57E2"/>
    <w:rsid w:val="005C6058"/>
    <w:rsid w:val="005E1C5E"/>
    <w:rsid w:val="005F297C"/>
    <w:rsid w:val="005F7188"/>
    <w:rsid w:val="00601482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6029"/>
    <w:rsid w:val="0066796E"/>
    <w:rsid w:val="00670B37"/>
    <w:rsid w:val="00672068"/>
    <w:rsid w:val="00675A84"/>
    <w:rsid w:val="0067643B"/>
    <w:rsid w:val="006A11E1"/>
    <w:rsid w:val="006A6400"/>
    <w:rsid w:val="006B47BD"/>
    <w:rsid w:val="006C0F94"/>
    <w:rsid w:val="006C52C7"/>
    <w:rsid w:val="006C5436"/>
    <w:rsid w:val="006C6973"/>
    <w:rsid w:val="006D0024"/>
    <w:rsid w:val="006D466B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34A44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4A7F"/>
    <w:rsid w:val="00806585"/>
    <w:rsid w:val="00806591"/>
    <w:rsid w:val="0082266C"/>
    <w:rsid w:val="0082518D"/>
    <w:rsid w:val="00825846"/>
    <w:rsid w:val="00834562"/>
    <w:rsid w:val="008355F1"/>
    <w:rsid w:val="008360B9"/>
    <w:rsid w:val="00841254"/>
    <w:rsid w:val="00841FD3"/>
    <w:rsid w:val="00842DF2"/>
    <w:rsid w:val="008438E8"/>
    <w:rsid w:val="00845B7A"/>
    <w:rsid w:val="008509A0"/>
    <w:rsid w:val="0085243A"/>
    <w:rsid w:val="00852FF1"/>
    <w:rsid w:val="0085472B"/>
    <w:rsid w:val="00870874"/>
    <w:rsid w:val="00877162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4856"/>
    <w:rsid w:val="00906105"/>
    <w:rsid w:val="009100A9"/>
    <w:rsid w:val="00915560"/>
    <w:rsid w:val="00917438"/>
    <w:rsid w:val="00921B7F"/>
    <w:rsid w:val="00921DE4"/>
    <w:rsid w:val="00922628"/>
    <w:rsid w:val="009250A2"/>
    <w:rsid w:val="00925AEB"/>
    <w:rsid w:val="00927252"/>
    <w:rsid w:val="0093013D"/>
    <w:rsid w:val="00935619"/>
    <w:rsid w:val="00942DDD"/>
    <w:rsid w:val="00954F39"/>
    <w:rsid w:val="00964BB6"/>
    <w:rsid w:val="00964BC6"/>
    <w:rsid w:val="00965BC0"/>
    <w:rsid w:val="00970420"/>
    <w:rsid w:val="00970F1D"/>
    <w:rsid w:val="00971643"/>
    <w:rsid w:val="00971C80"/>
    <w:rsid w:val="00973D5B"/>
    <w:rsid w:val="009874B5"/>
    <w:rsid w:val="009A52AD"/>
    <w:rsid w:val="009B163A"/>
    <w:rsid w:val="009C28EA"/>
    <w:rsid w:val="009C3615"/>
    <w:rsid w:val="009D293D"/>
    <w:rsid w:val="009E3FE4"/>
    <w:rsid w:val="00A01D21"/>
    <w:rsid w:val="00A056A0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93CA9"/>
    <w:rsid w:val="00AA3543"/>
    <w:rsid w:val="00AA6079"/>
    <w:rsid w:val="00AA684F"/>
    <w:rsid w:val="00AA7619"/>
    <w:rsid w:val="00AB38CF"/>
    <w:rsid w:val="00AB4C7D"/>
    <w:rsid w:val="00AC7AA8"/>
    <w:rsid w:val="00AD4091"/>
    <w:rsid w:val="00AD743F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55D0A"/>
    <w:rsid w:val="00B61C7F"/>
    <w:rsid w:val="00B67653"/>
    <w:rsid w:val="00B74F6A"/>
    <w:rsid w:val="00B75F66"/>
    <w:rsid w:val="00B833A5"/>
    <w:rsid w:val="00B833C5"/>
    <w:rsid w:val="00B84CED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178E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1063"/>
    <w:rsid w:val="00D43606"/>
    <w:rsid w:val="00D538EF"/>
    <w:rsid w:val="00D57B5A"/>
    <w:rsid w:val="00D6232C"/>
    <w:rsid w:val="00D63F2F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1468D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459A"/>
    <w:rsid w:val="00EF648A"/>
    <w:rsid w:val="00F07134"/>
    <w:rsid w:val="00F1004C"/>
    <w:rsid w:val="00F104CF"/>
    <w:rsid w:val="00F11A72"/>
    <w:rsid w:val="00F1299D"/>
    <w:rsid w:val="00F301F8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C4718"/>
    <w:rsid w:val="00FC67BE"/>
    <w:rsid w:val="00FD0663"/>
    <w:rsid w:val="00FD748D"/>
    <w:rsid w:val="00FF3AF5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3">
    <w:name w:val="heading 3"/>
    <w:basedOn w:val="a"/>
    <w:next w:val="a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4">
    <w:name w:val="heading 4"/>
    <w:basedOn w:val="a"/>
    <w:next w:val="a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5">
    <w:name w:val="heading 5"/>
    <w:basedOn w:val="a"/>
    <w:next w:val="a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6">
    <w:name w:val="heading 6"/>
    <w:basedOn w:val="a"/>
    <w:next w:val="a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8">
    <w:name w:val="heading 8"/>
    <w:basedOn w:val="a"/>
    <w:next w:val="a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9">
    <w:name w:val="heading 9"/>
    <w:basedOn w:val="a"/>
    <w:next w:val="a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annotation reference"/>
    <w:semiHidden/>
    <w:rPr>
      <w:rFonts w:ascii="Times New Roman" w:cs="Tms Rmn"/>
      <w:sz w:val="16"/>
      <w:szCs w:val="16"/>
    </w:rPr>
  </w:style>
  <w:style w:type="paragraph" w:styleId="a7">
    <w:name w:val="annotation text"/>
    <w:basedOn w:val="a"/>
    <w:semiHidden/>
    <w:rPr>
      <w:rFonts w:cs="CordiaUPC"/>
      <w:sz w:val="28"/>
      <w:szCs w:val="28"/>
    </w:rPr>
  </w:style>
  <w:style w:type="paragraph" w:styleId="a8">
    <w:name w:val="Body Text Indent"/>
    <w:basedOn w:val="a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a9">
    <w:name w:val="List"/>
    <w:basedOn w:val="a"/>
    <w:pPr>
      <w:ind w:left="360" w:hanging="360"/>
    </w:pPr>
    <w:rPr>
      <w:rFonts w:hAnsi="Times New Roman"/>
    </w:rPr>
  </w:style>
  <w:style w:type="paragraph" w:styleId="aa">
    <w:name w:val="caption"/>
    <w:basedOn w:val="a"/>
    <w:next w:val="a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ab">
    <w:name w:val="Block Text"/>
    <w:basedOn w:val="a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20">
    <w:name w:val="Body Text Indent 2"/>
    <w:basedOn w:val="a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ac">
    <w:name w:val="Table Grid"/>
    <w:basedOn w:val="a1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ignature"/>
    <w:basedOn w:val="a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a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a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ae">
    <w:name w:val="Balloon Text"/>
    <w:basedOn w:val="a"/>
    <w:semiHidden/>
    <w:rsid w:val="002521EC"/>
    <w:rPr>
      <w:rFonts w:ascii="Tahoma" w:hAnsi="Tahoma"/>
      <w:sz w:val="16"/>
      <w:szCs w:val="18"/>
    </w:rPr>
  </w:style>
  <w:style w:type="paragraph" w:styleId="30">
    <w:name w:val="Body Text 3"/>
    <w:basedOn w:val="a"/>
    <w:link w:val="31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31">
    <w:name w:val="เนื้อความ 3 อักขระ"/>
    <w:link w:val="30"/>
    <w:rsid w:val="00BE777D"/>
    <w:rPr>
      <w:rFonts w:ascii="Times New Roman"/>
      <w:sz w:val="16"/>
    </w:rPr>
  </w:style>
  <w:style w:type="paragraph" w:styleId="af">
    <w:name w:val="Title"/>
    <w:basedOn w:val="a"/>
    <w:link w:val="af0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af0">
    <w:name w:val="ชื่อเรื่อง อักขระ"/>
    <w:link w:val="af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a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styleId="af1">
    <w:name w:val="List Paragraph"/>
    <w:basedOn w:val="a"/>
    <w:uiPriority w:val="34"/>
    <w:qFormat/>
    <w:rsid w:val="008355F1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วีนิไทย จำกัด (มหาชน)</vt:lpstr>
      <vt:lpstr>บริษัท วีนิไทย จำกัด (มหาชน)</vt:lpstr>
    </vt:vector>
  </TitlesOfParts>
  <Company>ernst&amp;young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fikakorn chan</cp:lastModifiedBy>
  <cp:revision>2</cp:revision>
  <cp:lastPrinted>2024-11-07T03:26:00Z</cp:lastPrinted>
  <dcterms:created xsi:type="dcterms:W3CDTF">2024-11-09T04:35:00Z</dcterms:created>
  <dcterms:modified xsi:type="dcterms:W3CDTF">2024-11-09T04:35:00Z</dcterms:modified>
</cp:coreProperties>
</file>